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664" w:after="0"/>
      </w:pPr>
    </w:p>
    <w:p>
      <w:pPr>
        <w:spacing w:after="600"/>
      </w:pPr>
      <w:r>
        <w:drawing>
          <wp:inline xmlns:a="http://schemas.openxmlformats.org/drawingml/2006/main" xmlns:pic="http://schemas.openxmlformats.org/drawingml/2006/picture">
            <wp:extent cx="914400" cy="914400"/>
            <wp:docPr id="1" name="Picture 1" descr="Student Radar logo" title="Student Radar 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  <w:pBdr>
          <w:bottom w:val="single" w:sz="14" w:space="4" w:color="5CB57A"/>
        </w:pBdr>
      </w:pPr>
      <w:r>
        <w:rPr>
          <w:rFonts w:ascii="Calibri" w:hAnsi="Calibri"/>
          <w:b/>
          <w:color w:val="274833"/>
          <w:sz w:val="60"/>
        </w:rPr>
        <w:t>Sub-Processor List</w:t>
      </w:r>
    </w:p>
    <w:p>
      <w:pPr>
        <w:pStyle w:val="CoverSubtitle"/>
        <w:spacing w:after="480"/>
      </w:pPr>
      <w:r>
        <w:t>Clarity for Education</w:t>
      </w:r>
    </w:p>
    <w:p>
      <w:pPr>
        <w:spacing w:after="60"/>
      </w:pPr>
      <w:r>
        <w:rPr>
          <w:rFonts w:ascii="Calibri" w:hAnsi="Calibri"/>
          <w:color w:val="666666"/>
          <w:sz w:val="21"/>
        </w:rPr>
        <w:t>Version 1.5</w:t>
      </w:r>
    </w:p>
    <w:p>
      <w:pPr>
        <w:spacing w:after="60"/>
      </w:pPr>
      <w:r>
        <w:rPr>
          <w:rFonts w:ascii="Calibri" w:hAnsi="Calibri"/>
          <w:color w:val="666666"/>
          <w:sz w:val="21"/>
        </w:rPr>
        <w:t>Reviewed: 11 July 2026</w:t>
      </w:r>
    </w:p>
    <w:p>
      <w:pPr>
        <w:spacing w:before="160" w:after="0"/>
      </w:pPr>
      <w:r>
        <w:rPr>
          <w:rFonts w:ascii="Calibri" w:hAnsi="Calibri"/>
          <w:b/>
          <w:color w:val="3A6C4D"/>
          <w:sz w:val="19"/>
        </w:rPr>
        <w:t>Current technical register</w:t>
      </w:r>
    </w:p>
    <w:p>
      <w:r>
        <w:br w:type="page"/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  <w:tblBorders>
          <w:top w:val="single" w:sz="4" w:space="0" w:color="C9D8CD"/>
          <w:left w:val="single" w:sz="4" w:space="0" w:color="C9D8CD"/>
          <w:bottom w:val="single" w:sz="4" w:space="0" w:color="C9D8CD"/>
          <w:right w:val="single" w:sz="4" w:space="0" w:color="C9D8CD"/>
          <w:insideH w:val="single" w:sz="4" w:space="0" w:color="C9D8CD"/>
          <w:insideV w:val="single" w:sz="4" w:space="0" w:color="C9D8CD"/>
        </w:tblBorders>
        <w:tblInd w:w="120" w:type="dxa"/>
      </w:tblPr>
      <w:tblGrid>
        <w:gridCol w:w="4706"/>
        <w:gridCol w:w="4706"/>
      </w:tblGrid>
      <w:tr>
        <w:trPr>
          <w:cantSplit w:val="true"/>
          <w:tblHeader w:val="true"/>
        </w:trPr>
        <w:tc>
          <w:tcPr>
            <w:tcW w:type="dxa" w:w="2879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2F1E6"/>
          </w:tcPr>
          <w:p>
            <w:pPr>
              <w:spacing w:after="0" w:line="252" w:lineRule="auto"/>
            </w:pPr>
            <w:r>
              <w:rPr>
                <w:rFonts w:ascii="Calibri" w:hAnsi="Calibri"/>
                <w:b/>
                <w:color w:val="274833"/>
                <w:sz w:val="18"/>
              </w:rPr>
              <w:t>Document control</w:t>
            </w:r>
          </w:p>
        </w:tc>
        <w:tc>
          <w:tcPr>
            <w:tcW w:type="dxa" w:w="6409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2F1E6"/>
          </w:tcPr>
          <w:p>
            <w:pPr>
              <w:spacing w:after="0" w:line="252" w:lineRule="auto"/>
            </w:pPr>
            <w:r>
              <w:rPr>
                <w:rFonts w:ascii="Calibri" w:hAnsi="Calibri"/>
                <w:b/>
                <w:color w:val="274833"/>
                <w:sz w:val="18"/>
              </w:rPr>
              <w:t>Detail</w:t>
            </w:r>
          </w:p>
        </w:tc>
      </w:tr>
      <w:tr>
        <w:trPr>
          <w:cantSplit w:val="true"/>
        </w:trPr>
        <w:tc>
          <w:tcPr>
            <w:tcW w:type="dxa" w:w="2879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8"/>
              </w:rPr>
              <w:t>Version</w:t>
            </w:r>
          </w:p>
        </w:tc>
        <w:tc>
          <w:tcPr>
            <w:tcW w:type="dxa" w:w="6409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8"/>
              </w:rPr>
              <w:t>1.5</w:t>
            </w:r>
          </w:p>
        </w:tc>
      </w:tr>
      <w:tr>
        <w:trPr>
          <w:cantSplit w:val="true"/>
        </w:trPr>
        <w:tc>
          <w:tcPr>
            <w:tcW w:type="dxa" w:w="2879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F7FAF8"/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8"/>
              </w:rPr>
              <w:t>Technical review</w:t>
            </w:r>
          </w:p>
        </w:tc>
        <w:tc>
          <w:tcPr>
            <w:tcW w:type="dxa" w:w="6409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F7FAF8"/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8"/>
              </w:rPr>
              <w:t>11 July 2026</w:t>
            </w:r>
          </w:p>
        </w:tc>
      </w:tr>
      <w:tr>
        <w:trPr>
          <w:cantSplit w:val="true"/>
        </w:trPr>
        <w:tc>
          <w:tcPr>
            <w:tcW w:type="dxa" w:w="2879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8"/>
              </w:rPr>
              <w:t>Publication status</w:t>
            </w:r>
          </w:p>
        </w:tc>
        <w:tc>
          <w:tcPr>
            <w:tcW w:type="dxa" w:w="6409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8"/>
              </w:rPr>
              <w:t>Current technical register</w:t>
            </w:r>
          </w:p>
        </w:tc>
      </w:tr>
      <w:tr>
        <w:trPr>
          <w:cantSplit w:val="true"/>
        </w:trPr>
        <w:tc>
          <w:tcPr>
            <w:tcW w:type="dxa" w:w="2879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F7FAF8"/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8"/>
              </w:rPr>
              <w:t>Review trigger</w:t>
            </w:r>
          </w:p>
        </w:tc>
        <w:tc>
          <w:tcPr>
            <w:tcW w:type="dxa" w:w="6409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F7FAF8"/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8"/>
              </w:rPr>
              <w:t>Any material provider, purpose, region or retention change, and at least annually</w:t>
            </w:r>
          </w:p>
        </w:tc>
      </w:tr>
    </w:tbl>
    <w:p>
      <w:pPr>
        <w:spacing w:after="0"/>
      </w:pPr>
    </w:p>
    <w:p>
      <w:pPr>
        <w:pStyle w:val="Heading1"/>
        <w:pBdr>
          <w:bottom w:val="single" w:sz="8" w:space="4" w:color="5CB57A"/>
        </w:pBdr>
      </w:pPr>
      <w:r>
        <w:rPr>
          <w:rFonts w:ascii="Calibri" w:hAnsi="Calibri"/>
        </w:rPr>
        <w:t>Scope and status</w:t>
      </w:r>
    </w:p>
    <w:p>
      <w:r>
        <w:rPr>
          <w:rFonts w:ascii="Calibri" w:hAnsi="Calibri"/>
        </w:rPr>
        <w:t>A sub-processor is a third party engaged by SENDlink LTD, trading as Student Radar, to process personal data on behalf of a school or trust. This register also identifies conditional processing triggered by visitors using public Student Radar tools so that public processing is not confused with school-enabled platform processing.</w:t>
      </w:r>
    </w:p>
    <w:p>
      <w:r>
        <w:rPr>
          <w:rFonts w:ascii="Calibri" w:hAnsi="Calibri"/>
        </w:rPr>
        <w:t>This register supports transparency. It does not itself approve a transfer or replace the executed Data Processing Agreement, school DPIA or contractual notification and objection terms.</w:t>
      </w:r>
    </w:p>
    <w:p>
      <w:pPr>
        <w:pStyle w:val="Heading1"/>
        <w:pBdr>
          <w:bottom w:val="single" w:sz="8" w:space="4" w:color="5CB57A"/>
        </w:pBdr>
      </w:pPr>
      <w:r>
        <w:rPr>
          <w:rFonts w:ascii="Calibri" w:hAnsi="Calibri"/>
        </w:rPr>
        <w:t>Core service providers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  <w:tblBorders>
          <w:top w:val="single" w:sz="4" w:space="0" w:color="C9D8CD"/>
          <w:left w:val="single" w:sz="4" w:space="0" w:color="C9D8CD"/>
          <w:bottom w:val="single" w:sz="4" w:space="0" w:color="C9D8CD"/>
          <w:right w:val="single" w:sz="4" w:space="0" w:color="C9D8CD"/>
          <w:insideH w:val="single" w:sz="4" w:space="0" w:color="C9D8CD"/>
          <w:insideV w:val="single" w:sz="4" w:space="0" w:color="C9D8CD"/>
        </w:tblBorders>
        <w:tblInd w:w="120" w:type="dxa"/>
      </w:tblPr>
      <w:tblGrid>
        <w:gridCol w:w="2353"/>
        <w:gridCol w:w="2353"/>
        <w:gridCol w:w="2353"/>
        <w:gridCol w:w="2353"/>
      </w:tblGrid>
      <w:tr>
        <w:trPr>
          <w:cantSplit w:val="true"/>
          <w:tblHeader w:val="true"/>
        </w:trPr>
        <w:tc>
          <w:tcPr>
            <w:tcW w:type="dxa" w:w="133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2F1E6"/>
          </w:tcPr>
          <w:p>
            <w:pPr>
              <w:spacing w:after="0" w:line="252" w:lineRule="auto"/>
            </w:pPr>
            <w:r>
              <w:rPr>
                <w:rFonts w:ascii="Calibri" w:hAnsi="Calibri"/>
                <w:b/>
                <w:color w:val="274833"/>
                <w:sz w:val="16"/>
              </w:rPr>
              <w:t>Provider</w:t>
            </w:r>
          </w:p>
        </w:tc>
        <w:tc>
          <w:tcPr>
            <w:tcW w:type="dxa" w:w="26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2F1E6"/>
          </w:tcPr>
          <w:p>
            <w:pPr>
              <w:spacing w:after="0" w:line="252" w:lineRule="auto"/>
            </w:pPr>
            <w:r>
              <w:rPr>
                <w:rFonts w:ascii="Calibri" w:hAnsi="Calibri"/>
                <w:b/>
                <w:color w:val="274833"/>
                <w:sz w:val="16"/>
              </w:rPr>
              <w:t>Purpose</w:t>
            </w:r>
          </w:p>
        </w:tc>
        <w:tc>
          <w:tcPr>
            <w:tcW w:type="dxa" w:w="26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2F1E6"/>
          </w:tcPr>
          <w:p>
            <w:pPr>
              <w:spacing w:after="0" w:line="252" w:lineRule="auto"/>
            </w:pPr>
            <w:r>
              <w:rPr>
                <w:rFonts w:ascii="Calibri" w:hAnsi="Calibri"/>
                <w:b/>
                <w:color w:val="274833"/>
                <w:sz w:val="16"/>
              </w:rPr>
              <w:t>Data and primary position</w:t>
            </w:r>
          </w:p>
        </w:tc>
        <w:tc>
          <w:tcPr>
            <w:tcW w:type="dxa" w:w="26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2F1E6"/>
          </w:tcPr>
          <w:p>
            <w:pPr>
              <w:spacing w:after="0" w:line="252" w:lineRule="auto"/>
            </w:pPr>
            <w:r>
              <w:rPr>
                <w:rFonts w:ascii="Calibri" w:hAnsi="Calibri"/>
                <w:b/>
                <w:color w:val="274833"/>
                <w:sz w:val="16"/>
              </w:rPr>
              <w:t>Current note</w:t>
            </w:r>
          </w:p>
        </w:tc>
      </w:tr>
      <w:tr>
        <w:trPr>
          <w:cantSplit w:val="true"/>
        </w:trPr>
        <w:tc>
          <w:tcPr>
            <w:tcW w:type="dxa" w:w="133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Supabase, Inc.</w:t>
            </w:r>
          </w:p>
        </w:tc>
        <w:tc>
          <w:tcPr>
            <w:tcW w:type="dxa" w:w="26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Database hosting, authentication, file storage and provider-managed backups.</w:t>
            </w:r>
          </w:p>
        </w:tc>
        <w:tc>
          <w:tcPr>
            <w:tcW w:type="dxa" w:w="26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 xml:space="preserve">Customer Data in the configured </w:t>
            </w:r>
            <w:r>
              <w:rPr>
                <w:rFonts w:ascii="Aptos Mono" w:hAnsi="Aptos Mono"/>
                <w:color w:val="274833"/>
                <w:sz w:val="15"/>
              </w:rPr>
              <w:t>eu-west-2</w:t>
            </w:r>
            <w:r>
              <w:rPr>
                <w:rFonts w:ascii="Calibri" w:hAnsi="Calibri"/>
                <w:sz w:val="16"/>
              </w:rPr>
              <w:t xml:space="preserve"> London project.</w:t>
            </w:r>
          </w:p>
        </w:tc>
        <w:tc>
          <w:tcPr>
            <w:tcW w:type="dxa" w:w="26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Primary service region is configured in the UK. Provider support and its own sub-processors remain subject to contractual terms.</w:t>
            </w:r>
          </w:p>
        </w:tc>
      </w:tr>
      <w:tr>
        <w:trPr>
          <w:cantSplit w:val="true"/>
        </w:trPr>
        <w:tc>
          <w:tcPr>
            <w:tcW w:type="dxa" w:w="133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F7FAF8"/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Vercel, Inc.</w:t>
            </w:r>
          </w:p>
        </w:tc>
        <w:tc>
          <w:tcPr>
            <w:tcW w:type="dxa" w:w="26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F7FAF8"/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Application hosting, server-side functions, static assets, edge delivery, web analytics and performance telemetry.</w:t>
            </w:r>
          </w:p>
        </w:tc>
        <w:tc>
          <w:tcPr>
            <w:tcW w:type="dxa" w:w="26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F7FAF8"/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Request/response and technical data can be processed transiently by the hosting layer.</w:t>
            </w:r>
          </w:p>
        </w:tc>
        <w:tc>
          <w:tcPr>
            <w:tcW w:type="dxa" w:w="26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F7FAF8"/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No blanket claim is made that every execution path stays in one location. Public Web Analytics and Speed Insights are used without advertising pixels.</w:t>
            </w:r>
          </w:p>
        </w:tc>
      </w:tr>
      <w:tr>
        <w:trPr>
          <w:cantSplit w:val="true"/>
        </w:trPr>
        <w:tc>
          <w:tcPr>
            <w:tcW w:type="dxa" w:w="133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Wonde Ltd</w:t>
            </w:r>
          </w:p>
        </w:tc>
        <w:tc>
          <w:tcPr>
            <w:tcW w:type="dxa" w:w="26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MIS integration enabled for participating schools.</w:t>
            </w:r>
          </w:p>
        </w:tc>
        <w:tc>
          <w:tcPr>
            <w:tcW w:type="dxa" w:w="26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Pupil, staff and related school data selected through the school's Wonde connection.</w:t>
            </w:r>
          </w:p>
        </w:tc>
        <w:tc>
          <w:tcPr>
            <w:tcW w:type="dxa" w:w="26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Wonde is the direct MIS integration publicly claimed by Student Radar.</w:t>
            </w:r>
          </w:p>
        </w:tc>
      </w:tr>
      <w:tr>
        <w:trPr>
          <w:cantSplit w:val="true"/>
        </w:trPr>
        <w:tc>
          <w:tcPr>
            <w:tcW w:type="dxa" w:w="133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F7FAF8"/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Upstash, Inc.</w:t>
            </w:r>
          </w:p>
        </w:tc>
        <w:tc>
          <w:tcPr>
            <w:tcW w:type="dxa" w:w="26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F7FAF8"/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Shared public-API rate limiting and abuse prevention.</w:t>
            </w:r>
          </w:p>
        </w:tc>
        <w:tc>
          <w:tcPr>
            <w:tcW w:type="dxa" w:w="26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F7FAF8"/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A policy-specific HMAC-SHA256 client token and request count; no raw IP, lead-form field or pupil record is placed in the limiter key.</w:t>
            </w:r>
          </w:p>
        </w:tc>
        <w:tc>
          <w:tcPr>
            <w:tcW w:type="dxa" w:w="2650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F7FAF8"/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Configured for a London primary region without global read replicas. Limiter keys expire shortly after the applicable short policy window.</w:t>
            </w:r>
          </w:p>
        </w:tc>
      </w:tr>
    </w:tbl>
    <w:p>
      <w:pPr>
        <w:spacing w:after="0"/>
      </w:pPr>
    </w:p>
    <w:p>
      <w:pPr>
        <w:pStyle w:val="Heading1"/>
        <w:pBdr>
          <w:bottom w:val="single" w:sz="8" w:space="4" w:color="5CB57A"/>
        </w:pBdr>
      </w:pPr>
      <w:r>
        <w:rPr>
          <w:rFonts w:ascii="Calibri" w:hAnsi="Calibri"/>
        </w:rPr>
        <w:t>Conditional service providers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  <w:tblBorders>
          <w:top w:val="single" w:sz="4" w:space="0" w:color="C9D8CD"/>
          <w:left w:val="single" w:sz="4" w:space="0" w:color="C9D8CD"/>
          <w:bottom w:val="single" w:sz="4" w:space="0" w:color="C9D8CD"/>
          <w:right w:val="single" w:sz="4" w:space="0" w:color="C9D8CD"/>
          <w:insideH w:val="single" w:sz="4" w:space="0" w:color="C9D8CD"/>
          <w:insideV w:val="single" w:sz="4" w:space="0" w:color="C9D8CD"/>
        </w:tblBorders>
        <w:tblInd w:w="120" w:type="dxa"/>
      </w:tblPr>
      <w:tblGrid>
        <w:gridCol w:w="2353"/>
        <w:gridCol w:w="2353"/>
        <w:gridCol w:w="2353"/>
        <w:gridCol w:w="2353"/>
      </w:tblGrid>
      <w:tr>
        <w:trPr>
          <w:cantSplit w:val="true"/>
          <w:tblHeader w:val="true"/>
        </w:trPr>
        <w:tc>
          <w:tcPr>
            <w:tcW w:type="dxa" w:w="141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2F1E6"/>
          </w:tcPr>
          <w:p>
            <w:pPr>
              <w:spacing w:after="0" w:line="252" w:lineRule="auto"/>
            </w:pPr>
            <w:r>
              <w:rPr>
                <w:rFonts w:ascii="Calibri" w:hAnsi="Calibri"/>
                <w:b/>
                <w:color w:val="274833"/>
                <w:sz w:val="16"/>
              </w:rPr>
              <w:t>Provider</w:t>
            </w:r>
          </w:p>
        </w:tc>
        <w:tc>
          <w:tcPr>
            <w:tcW w:type="dxa" w:w="262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2F1E6"/>
          </w:tcPr>
          <w:p>
            <w:pPr>
              <w:spacing w:after="0" w:line="252" w:lineRule="auto"/>
            </w:pPr>
            <w:r>
              <w:rPr>
                <w:rFonts w:ascii="Calibri" w:hAnsi="Calibri"/>
                <w:b/>
                <w:color w:val="274833"/>
                <w:sz w:val="16"/>
              </w:rPr>
              <w:t>Trigger and purpose</w:t>
            </w:r>
          </w:p>
        </w:tc>
        <w:tc>
          <w:tcPr>
            <w:tcW w:type="dxa" w:w="262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2F1E6"/>
          </w:tcPr>
          <w:p>
            <w:pPr>
              <w:spacing w:after="0" w:line="252" w:lineRule="auto"/>
            </w:pPr>
            <w:r>
              <w:rPr>
                <w:rFonts w:ascii="Calibri" w:hAnsi="Calibri"/>
                <w:b/>
                <w:color w:val="274833"/>
                <w:sz w:val="16"/>
              </w:rPr>
              <w:t>Data processed</w:t>
            </w:r>
          </w:p>
        </w:tc>
        <w:tc>
          <w:tcPr>
            <w:tcW w:type="dxa" w:w="262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2F1E6"/>
          </w:tcPr>
          <w:p>
            <w:pPr>
              <w:spacing w:after="0" w:line="252" w:lineRule="auto"/>
            </w:pPr>
            <w:r>
              <w:rPr>
                <w:rFonts w:ascii="Calibri" w:hAnsi="Calibri"/>
                <w:b/>
                <w:color w:val="274833"/>
                <w:sz w:val="16"/>
              </w:rPr>
              <w:t>Transfer/retention note</w:t>
            </w:r>
          </w:p>
        </w:tc>
      </w:tr>
      <w:tr>
        <w:trPr>
          <w:cantSplit w:val="true"/>
        </w:trPr>
        <w:tc>
          <w:tcPr>
            <w:tcW w:type="dxa" w:w="141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OpenAI, L.L.C.</w:t>
            </w:r>
          </w:p>
        </w:tc>
        <w:tc>
          <w:tcPr>
            <w:tcW w:type="dxa" w:w="262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Public Echo and Sensory Profiler requests; separately, a school-enabled AI capability actively invoked by authorised staff.</w:t>
            </w:r>
          </w:p>
        </w:tc>
        <w:tc>
          <w:tcPr>
            <w:tcW w:type="dxa" w:w="262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Public Echo: bounded tapped phrase/button text and generated utterance for speech. Public Sensory generation: anonymous catalogue selections only. Platform data is capability-specific.</w:t>
            </w:r>
          </w:p>
        </w:tc>
        <w:tc>
          <w:tcPr>
            <w:tcW w:type="dxa" w:w="262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 xml:space="preserve">Responses calls set </w:t>
            </w:r>
            <w:r>
              <w:rPr>
                <w:rFonts w:ascii="Aptos Mono" w:hAnsi="Aptos Mono"/>
                <w:color w:val="274833"/>
                <w:sz w:val="15"/>
              </w:rPr>
              <w:t>store=false</w:t>
            </w:r>
            <w:r>
              <w:rPr>
                <w:rFonts w:ascii="Calibri" w:hAnsi="Calibri"/>
                <w:sz w:val="16"/>
              </w:rPr>
              <w:t>. Default abuse-monitoring logs can contain customer content for up to 30 days unless an approved alternative applies. No current blanket ZDR claim is made.</w:t>
            </w:r>
          </w:p>
        </w:tc>
      </w:tr>
      <w:tr>
        <w:trPr>
          <w:cantSplit w:val="true"/>
        </w:trPr>
        <w:tc>
          <w:tcPr>
            <w:tcW w:type="dxa" w:w="141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F7FAF8"/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Resend, Inc.</w:t>
            </w:r>
          </w:p>
        </w:tc>
        <w:tc>
          <w:tcPr>
            <w:tcW w:type="dxa" w:w="262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F7FAF8"/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Transactional email where the relevant notification or form workflow is used.</w:t>
            </w:r>
          </w:p>
        </w:tc>
        <w:tc>
          <w:tcPr>
            <w:tcW w:type="dxa" w:w="262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F7FAF8"/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Recipient address, message content and delivery metadata.</w:t>
            </w:r>
          </w:p>
        </w:tc>
        <w:tc>
          <w:tcPr>
            <w:tcW w:type="dxa" w:w="262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F7FAF8"/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International processing can occur under provider safeguards. Unnecessary pupil data must not be placed in email content.</w:t>
            </w:r>
          </w:p>
        </w:tc>
      </w:tr>
      <w:tr>
        <w:trPr>
          <w:cantSplit w:val="true"/>
        </w:trPr>
        <w:tc>
          <w:tcPr>
            <w:tcW w:type="dxa" w:w="141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Twilio, Inc.</w:t>
            </w:r>
          </w:p>
        </w:tc>
        <w:tc>
          <w:tcPr>
            <w:tcW w:type="dxa" w:w="262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SMS delivery where a school selects and uses the relevant Connect service.</w:t>
            </w:r>
          </w:p>
        </w:tc>
        <w:tc>
          <w:tcPr>
            <w:tcW w:type="dxa" w:w="262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Recipient number, message content and delivery metadata.</w:t>
            </w:r>
          </w:p>
        </w:tc>
        <w:tc>
          <w:tcPr>
            <w:tcW w:type="dxa" w:w="262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Provider terms and applicable transfer safeguards apply. SMS is a pass-through usage cost.</w:t>
            </w:r>
          </w:p>
        </w:tc>
      </w:tr>
      <w:tr>
        <w:trPr>
          <w:cantSplit w:val="true"/>
        </w:trPr>
        <w:tc>
          <w:tcPr>
            <w:tcW w:type="dxa" w:w="1418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F7FAF8"/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Functional Software, Inc. (Sentry)</w:t>
            </w:r>
          </w:p>
        </w:tc>
        <w:tc>
          <w:tcPr>
            <w:tcW w:type="dxa" w:w="262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F7FAF8"/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Error and performance monitoring where configured.</w:t>
            </w:r>
          </w:p>
        </w:tc>
        <w:tc>
          <w:tcPr>
            <w:tcW w:type="dxa" w:w="262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F7FAF8"/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Technical diagnostics.</w:t>
            </w:r>
          </w:p>
        </w:tc>
        <w:tc>
          <w:tcPr>
            <w:tcW w:type="dxa" w:w="2623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F7FAF8"/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Configuration is intended to minimise personal data; operational review of error payloads remains a control. International processing may occur under provider terms.</w:t>
            </w:r>
          </w:p>
        </w:tc>
      </w:tr>
    </w:tbl>
    <w:p>
      <w:pPr>
        <w:spacing w:after="0"/>
      </w:pPr>
    </w:p>
    <w:p>
      <w:pPr>
        <w:pStyle w:val="Heading1"/>
        <w:pBdr>
          <w:bottom w:val="single" w:sz="8" w:space="4" w:color="5CB57A"/>
        </w:pBdr>
      </w:pPr>
      <w:r>
        <w:rPr>
          <w:rFonts w:ascii="Calibri" w:hAnsi="Calibri"/>
        </w:rPr>
        <w:t>OpenAI processing contexts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  <w:tblBorders>
          <w:top w:val="single" w:sz="4" w:space="0" w:color="C9D8CD"/>
          <w:left w:val="single" w:sz="4" w:space="0" w:color="C9D8CD"/>
          <w:bottom w:val="single" w:sz="4" w:space="0" w:color="C9D8CD"/>
          <w:right w:val="single" w:sz="4" w:space="0" w:color="C9D8CD"/>
          <w:insideH w:val="single" w:sz="4" w:space="0" w:color="C9D8CD"/>
          <w:insideV w:val="single" w:sz="4" w:space="0" w:color="C9D8CD"/>
        </w:tblBorders>
        <w:tblInd w:w="120" w:type="dxa"/>
      </w:tblPr>
      <w:tblGrid>
        <w:gridCol w:w="2353"/>
        <w:gridCol w:w="2353"/>
        <w:gridCol w:w="2353"/>
        <w:gridCol w:w="2353"/>
      </w:tblGrid>
      <w:tr>
        <w:trPr>
          <w:cantSplit w:val="true"/>
          <w:tblHeader w:val="true"/>
        </w:trPr>
        <w:tc>
          <w:tcPr>
            <w:tcW w:type="dxa" w:w="1392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2F1E6"/>
          </w:tcPr>
          <w:p>
            <w:pPr>
              <w:spacing w:after="0" w:line="252" w:lineRule="auto"/>
            </w:pPr>
            <w:r>
              <w:rPr>
                <w:rFonts w:ascii="Calibri" w:hAnsi="Calibri"/>
                <w:b/>
                <w:color w:val="274833"/>
                <w:sz w:val="16"/>
              </w:rPr>
              <w:t>Context</w:t>
            </w:r>
          </w:p>
        </w:tc>
        <w:tc>
          <w:tcPr>
            <w:tcW w:type="dxa" w:w="2322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2F1E6"/>
          </w:tcPr>
          <w:p>
            <w:pPr>
              <w:spacing w:after="0" w:line="252" w:lineRule="auto"/>
            </w:pPr>
            <w:r>
              <w:rPr>
                <w:rFonts w:ascii="Calibri" w:hAnsi="Calibri"/>
                <w:b/>
                <w:color w:val="274833"/>
                <w:sz w:val="16"/>
              </w:rPr>
              <w:t>Activation</w:t>
            </w:r>
          </w:p>
        </w:tc>
        <w:tc>
          <w:tcPr>
            <w:tcW w:type="dxa" w:w="278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2F1E6"/>
          </w:tcPr>
          <w:p>
            <w:pPr>
              <w:spacing w:after="0" w:line="252" w:lineRule="auto"/>
            </w:pPr>
            <w:r>
              <w:rPr>
                <w:rFonts w:ascii="Calibri" w:hAnsi="Calibri"/>
                <w:b/>
                <w:color w:val="274833"/>
                <w:sz w:val="16"/>
              </w:rPr>
              <w:t>Student Radar retention</w:t>
            </w:r>
          </w:p>
        </w:tc>
        <w:tc>
          <w:tcPr>
            <w:tcW w:type="dxa" w:w="278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E2F1E6"/>
          </w:tcPr>
          <w:p>
            <w:pPr>
              <w:spacing w:after="0" w:line="252" w:lineRule="auto"/>
            </w:pPr>
            <w:r>
              <w:rPr>
                <w:rFonts w:ascii="Calibri" w:hAnsi="Calibri"/>
                <w:b/>
                <w:color w:val="274833"/>
                <w:sz w:val="16"/>
              </w:rPr>
              <w:t>Required procurement position</w:t>
            </w:r>
          </w:p>
        </w:tc>
      </w:tr>
      <w:tr>
        <w:trPr>
          <w:cantSplit w:val="true"/>
        </w:trPr>
        <w:tc>
          <w:tcPr>
            <w:tcW w:type="dxa" w:w="1392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Public Echo</w:t>
            </w:r>
          </w:p>
        </w:tc>
        <w:tc>
          <w:tcPr>
            <w:tcW w:type="dxa" w:w="2322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A visitor selects Interpret.</w:t>
            </w:r>
          </w:p>
        </w:tc>
        <w:tc>
          <w:tcPr>
            <w:tcW w:type="dxa" w:w="278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Generated text and audio may be held in process memory for up to 10 minutes. There is no database write in this route.</w:t>
            </w:r>
          </w:p>
        </w:tc>
        <w:tc>
          <w:tcPr>
            <w:tcW w:type="dxa" w:w="278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The website Privacy Policy and AI Processing and Transfer Overview describe the current route. Users should not enter direct identifiers.</w:t>
            </w:r>
          </w:p>
        </w:tc>
      </w:tr>
      <w:tr>
        <w:trPr>
          <w:cantSplit w:val="true"/>
        </w:trPr>
        <w:tc>
          <w:tcPr>
            <w:tcW w:type="dxa" w:w="1392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F7FAF8"/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Public Sensory Profiler</w:t>
            </w:r>
          </w:p>
        </w:tc>
        <w:tc>
          <w:tcPr>
            <w:tcW w:type="dxa" w:w="2322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F7FAF8"/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A visitor requests generation using anonymous catalogue selections.</w:t>
            </w:r>
          </w:p>
        </w:tc>
        <w:tc>
          <w:tcPr>
            <w:tcW w:type="dxa" w:w="278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F7FAF8"/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Validated output may be held in process memory for up to 10 minutes. The separate PDF signature also expires after 10 minutes.</w:t>
            </w:r>
          </w:p>
        </w:tc>
        <w:tc>
          <w:tcPr>
            <w:tcW w:type="dxa" w:w="278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  <w:shd w:fill="F7FAF8"/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Identity, school and pupil-context fields are rejected. PDF rendering requires the unchanged server-generated content and valid signature.</w:t>
            </w:r>
          </w:p>
        </w:tc>
      </w:tr>
      <w:tr>
        <w:trPr>
          <w:cantSplit w:val="true"/>
        </w:trPr>
        <w:tc>
          <w:tcPr>
            <w:tcW w:type="dxa" w:w="1392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School-enabled platform AI</w:t>
            </w:r>
          </w:p>
        </w:tc>
        <w:tc>
          <w:tcPr>
            <w:tcW w:type="dxa" w:w="2322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A school enables the capability and an authorised user actively invokes it.</w:t>
            </w:r>
          </w:p>
        </w:tc>
        <w:tc>
          <w:tcPr>
            <w:tcW w:type="dxa" w:w="278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Capability-specific; not inferred from the public-tool caches.</w:t>
            </w:r>
          </w:p>
        </w:tc>
        <w:tc>
          <w:tcPr>
            <w:tcW w:type="dxa" w:w="278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line="252" w:lineRule="auto"/>
            </w:pPr>
            <w:r>
              <w:rPr>
                <w:rFonts w:ascii="Calibri" w:hAnsi="Calibri"/>
                <w:sz w:val="16"/>
              </w:rPr>
              <w:t>The current DPA, capability assessment and feature notice must define the data, purpose, retention and safeguards before enablement.</w:t>
            </w:r>
          </w:p>
        </w:tc>
      </w:tr>
    </w:tbl>
    <w:p>
      <w:pPr>
        <w:spacing w:after="0"/>
      </w:pPr>
    </w:p>
    <w:p>
      <w:pPr>
        <w:pStyle w:val="Heading1"/>
        <w:pBdr>
          <w:bottom w:val="single" w:sz="8" w:space="4" w:color="5CB57A"/>
        </w:pBdr>
      </w:pPr>
      <w:r>
        <w:rPr>
          <w:rFonts w:ascii="Calibri" w:hAnsi="Calibri"/>
        </w:rPr>
        <w:t>Transfer and review notes</w:t>
      </w:r>
    </w:p>
    <w:p>
      <w:pPr>
        <w:pStyle w:val="ListParagraph"/>
        <w:numPr>
          <w:ilvl w:val="0"/>
          <w:numId w:val="10"/>
        </w:numPr>
      </w:pPr>
      <w:r>
        <w:rPr>
          <w:rFonts w:ascii="Calibri" w:hAnsi="Calibri"/>
        </w:rPr>
        <w:t>Supabase is configured with a UK primary service region; contractual support and provider sub-processing still require review.</w:t>
      </w:r>
    </w:p>
    <w:p>
      <w:pPr>
        <w:pStyle w:val="ListParagraph"/>
        <w:numPr>
          <w:ilvl w:val="0"/>
          <w:numId w:val="10"/>
        </w:numPr>
      </w:pPr>
      <w:r>
        <w:rPr>
          <w:rFonts w:ascii="Calibri" w:hAnsi="Calibri"/>
        </w:rPr>
        <w:t>Vercel provides a distributed hosting and edge layer; this register does not claim single-region execution for every request.</w:t>
      </w:r>
    </w:p>
    <w:p>
      <w:pPr>
        <w:pStyle w:val="ListParagraph"/>
        <w:numPr>
          <w:ilvl w:val="0"/>
          <w:numId w:val="10"/>
        </w:numPr>
      </w:pPr>
      <w:r>
        <w:rPr>
          <w:rFonts w:ascii="Calibri" w:hAnsi="Calibri"/>
        </w:rPr>
        <w:t>Wonde provides the supported MIS connection selected by the school.</w:t>
      </w:r>
    </w:p>
    <w:p>
      <w:pPr>
        <w:pStyle w:val="ListParagraph"/>
        <w:numPr>
          <w:ilvl w:val="0"/>
          <w:numId w:val="10"/>
        </w:numPr>
      </w:pPr>
      <w:r>
        <w:rPr>
          <w:rFonts w:ascii="Calibri" w:hAnsi="Calibri"/>
        </w:rPr>
        <w:t>Upstash is configured with a London primary region; its DPA and support-access terms remain applicable.</w:t>
      </w:r>
    </w:p>
    <w:p>
      <w:pPr>
        <w:pStyle w:val="ListParagraph"/>
        <w:numPr>
          <w:ilvl w:val="0"/>
          <w:numId w:val="10"/>
        </w:numPr>
      </w:pPr>
      <w:r>
        <w:rPr>
          <w:rFonts w:ascii="Calibri" w:hAnsi="Calibri"/>
        </w:rPr>
        <w:t>Resend, Twilio, Sentry and OpenAI can involve processing outside the UK under the relevant provider terms and transfer safeguards.</w:t>
      </w:r>
    </w:p>
    <w:p>
      <w:pPr>
        <w:pStyle w:val="ListParagraph"/>
        <w:numPr>
          <w:ilvl w:val="0"/>
          <w:numId w:val="10"/>
        </w:numPr>
      </w:pPr>
      <w:r>
        <w:rPr>
          <w:rFonts w:ascii="Calibri" w:hAnsi="Calibri"/>
        </w:rPr>
        <w:t xml:space="preserve">OpenAI </w:t>
      </w:r>
      <w:r>
        <w:rPr>
          <w:rFonts w:ascii="Aptos Mono" w:hAnsi="Aptos Mono"/>
          <w:color w:val="274833"/>
          <w:sz w:val="20"/>
        </w:rPr>
        <w:t>store=false</w:t>
      </w:r>
      <w:r>
        <w:rPr>
          <w:rFonts w:ascii="Calibri" w:hAnsi="Calibri"/>
        </w:rPr>
        <w:t xml:space="preserve"> is not equivalent to Zero Data Retention.</w:t>
      </w:r>
    </w:p>
    <w:p>
      <w:pPr>
        <w:pStyle w:val="Heading1"/>
        <w:pBdr>
          <w:bottom w:val="single" w:sz="8" w:space="4" w:color="5CB57A"/>
        </w:pBdr>
      </w:pPr>
      <w:r>
        <w:rPr>
          <w:rFonts w:ascii="Calibri" w:hAnsi="Calibri"/>
        </w:rPr>
        <w:t>Change control</w:t>
      </w:r>
    </w:p>
    <w:p>
      <w:r>
        <w:rPr>
          <w:rFonts w:ascii="Calibri" w:hAnsi="Calibri"/>
        </w:rPr>
        <w:t>Student Radar reviews this register after a material provider, purpose, data-category, region or retention change. Notification and objection rights are governed by the executed agreement with the school or trust.</w:t>
      </w:r>
    </w:p>
    <w:p>
      <w:pPr>
        <w:pStyle w:val="Heading1"/>
        <w:pBdr>
          <w:bottom w:val="single" w:sz="8" w:space="4" w:color="5CB57A"/>
        </w:pBdr>
      </w:pPr>
      <w:r>
        <w:rPr>
          <w:rFonts w:ascii="Calibri" w:hAnsi="Calibri"/>
        </w:rPr>
        <w:t>Sources and contact</w:t>
      </w:r>
    </w:p>
    <w:p>
      <w:pPr>
        <w:pStyle w:val="ListParagraph"/>
        <w:numPr>
          <w:ilvl w:val="0"/>
          <w:numId w:val="10"/>
        </w:numPr>
      </w:pPr>
      <w:r>
        <w:rPr>
          <w:rFonts w:ascii="Calibri" w:hAnsi="Calibri"/>
        </w:rPr>
        <w:t xml:space="preserve">OpenAI API data controls: </w:t>
      </w:r>
      <w:r>
        <w:rPr>
          <w:rFonts w:ascii="Aptos Mono" w:hAnsi="Aptos Mono"/>
          <w:color w:val="274833"/>
          <w:sz w:val="20"/>
        </w:rPr>
        <w:t>https://platform.openai.com/docs/models/default-usage-policies-by-endpoint</w:t>
      </w:r>
    </w:p>
    <w:p>
      <w:pPr>
        <w:pStyle w:val="ListParagraph"/>
        <w:numPr>
          <w:ilvl w:val="0"/>
          <w:numId w:val="10"/>
        </w:numPr>
      </w:pPr>
      <w:r>
        <w:rPr>
          <w:rFonts w:ascii="Calibri" w:hAnsi="Calibri"/>
        </w:rPr>
        <w:t xml:space="preserve">OpenAI business/API training position: </w:t>
      </w:r>
      <w:r>
        <w:rPr>
          <w:rFonts w:ascii="Aptos Mono" w:hAnsi="Aptos Mono"/>
          <w:color w:val="274833"/>
          <w:sz w:val="20"/>
        </w:rPr>
        <w:t>https://openai.com/policies/how-your-data-is-used-to-improve-model-performance/</w:t>
      </w:r>
    </w:p>
    <w:p>
      <w:pPr>
        <w:pStyle w:val="ListParagraph"/>
        <w:numPr>
          <w:ilvl w:val="0"/>
          <w:numId w:val="10"/>
        </w:numPr>
      </w:pPr>
      <w:r>
        <w:rPr>
          <w:rFonts w:ascii="Calibri" w:hAnsi="Calibri"/>
        </w:rPr>
        <w:t xml:space="preserve">Upstash DPA: </w:t>
      </w:r>
      <w:r>
        <w:rPr>
          <w:rFonts w:ascii="Aptos Mono" w:hAnsi="Aptos Mono"/>
          <w:color w:val="274833"/>
          <w:sz w:val="20"/>
        </w:rPr>
        <w:t>https://upstash.com/trust/dpa.pdf</w:t>
      </w:r>
    </w:p>
    <w:p>
      <w:pPr>
        <w:pStyle w:val="ListParagraph"/>
        <w:numPr>
          <w:ilvl w:val="0"/>
          <w:numId w:val="10"/>
        </w:numPr>
      </w:pPr>
      <w:r>
        <w:rPr>
          <w:rFonts w:ascii="Calibri" w:hAnsi="Calibri"/>
        </w:rPr>
        <w:t xml:space="preserve">Student Radar website Privacy Policy: </w:t>
      </w:r>
      <w:r>
        <w:rPr>
          <w:rFonts w:ascii="Aptos Mono" w:hAnsi="Aptos Mono"/>
          <w:color w:val="274833"/>
          <w:sz w:val="20"/>
        </w:rPr>
        <w:t>https://www.studentradar.com/privacy</w:t>
      </w:r>
    </w:p>
    <w:p>
      <w:r>
        <w:rPr>
          <w:rFonts w:ascii="Calibri" w:hAnsi="Calibri"/>
        </w:rPr>
        <w:t xml:space="preserve">Questions or requests for current contractual documents should be sent to </w:t>
      </w:r>
      <w:r>
        <w:rPr>
          <w:rFonts w:ascii="Aptos Mono" w:hAnsi="Aptos Mono"/>
          <w:color w:val="274833"/>
          <w:sz w:val="20"/>
        </w:rPr>
        <w:t>dpo@studentradar.com</w:t>
      </w:r>
      <w:r>
        <w:rPr>
          <w:rFonts w:ascii="Calibri" w:hAnsi="Calibri"/>
        </w:rPr>
        <w:t xml:space="preserve"> without including pupil records or confidential case information.</w:t>
      </w:r>
    </w:p>
    <w:sectPr>
      <w:headerReference w:type="default" r:id="rId9"/>
      <w:headerReference w:type="first" r:id="rId10"/>
      <w:footerReference w:type="default" r:id="rId11"/>
      <w:footerReference w:type="first" r:id="rId12"/>
      <w:pgSz w:w="11906" w:h="16838"/>
      <w:pgMar w:top="1361" w:right="1247" w:bottom="1247" w:left="1247" w:header="624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40" w:after="0"/>
      <w:jc w:val="center"/>
      <w:pBdr>
        <w:top w:val="single" w:sz="7" w:space="5" w:color="5CB57A"/>
      </w:pBdr>
    </w:pPr>
    <w:r>
      <w:rPr>
        <w:rFonts w:ascii="Calibri" w:hAnsi="Calibri"/>
        <w:color w:val="666666"/>
        <w:sz w:val="16"/>
      </w:rPr>
      <w:t>SENDlink LTD (trading as Student Radar)  ·  Company No. 16602655  ·  ICO Reg. ZC016361</w:t>
    </w:r>
  </w:p>
  <w:p>
    <w:pPr>
      <w:spacing w:before="0" w:after="0"/>
      <w:jc w:val="center"/>
    </w:pPr>
    <w:r>
      <w:rPr>
        <w:rFonts w:ascii="Calibri" w:hAnsi="Calibri"/>
        <w:color w:val="666666"/>
        <w:sz w:val="16"/>
      </w:rPr>
      <w:t xml:space="preserve">www.studentradar.com  ·  Page </w:t>
    </w:r>
    <w:r>
      <w:fldChar w:fldCharType="begin"/>
      <w:instrText xml:space="preserve"> PAGE </w:instrText>
      <w:fldChar w:fldCharType="separate"/>
      <w:t>1</w:t>
      <w:fldChar w:fldCharType="end"/>
    </w:r>
    <w:r>
      <w:rPr>
        <w:rFonts w:ascii="Calibri" w:hAnsi="Calibri"/>
        <w:color w:val="666666"/>
        <w:sz w:val="16"/>
      </w:rPr>
      <w:t xml:space="preserve"> of </w:t>
    </w:r>
    <w:r>
      <w:fldChar w:fldCharType="begin"/>
      <w:instrText xml:space="preserve"> NUMPAGES 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0" w:after="0"/>
      <w:jc w:val="left"/>
    </w:pPr>
    <w:r>
      <w:rPr>
        <w:rFonts w:ascii="Calibri" w:hAnsi="Calibri"/>
        <w:color w:val="666666"/>
        <w:sz w:val="17"/>
      </w:rPr>
      <w:t>SENDlink LTD (trading as Student Radar)  ·  Company No. 16602655  ·  ICO Reg. ZC016361  ·  10 Masefield Gardens, Plymouth, PL5 3HU  ·  www.studentradar.com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after="100"/>
      <w:jc w:val="left"/>
      <w:pBdr>
        <w:bottom w:val="single" w:sz="7" w:space="4" w:color="5CB57A"/>
      </w:pBdr>
    </w:pPr>
    <w:r>
      <w:drawing>
        <wp:inline xmlns:a="http://schemas.openxmlformats.org/drawingml/2006/main" xmlns:pic="http://schemas.openxmlformats.org/drawingml/2006/picture">
          <wp:extent cx="256032" cy="256032"/>
          <wp:docPr id="1" name="Picture 1" descr="Student Radar logo" title="Student Radar logo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032" cy="256032"/>
                  </a:xfrm>
                  <a:prstGeom prst="rect"/>
                </pic:spPr>
              </pic:pic>
            </a:graphicData>
          </a:graphic>
        </wp:inline>
      </w:drawing>
    </w:r>
    <w:r>
      <w:rPr>
        <w:rFonts w:ascii="Calibri" w:hAnsi="Calibri"/>
        <w:b/>
        <w:color w:val="3A6C4D"/>
        <w:sz w:val="19"/>
      </w:rPr>
      <w:t xml:space="preserve">   Student Radar</w:t>
    </w:r>
    <w:r>
      <w:rPr>
        <w:rFonts w:ascii="Calibri" w:hAnsi="Calibri"/>
        <w:color w:val="666666"/>
        <w:sz w:val="19"/>
      </w:rPr>
      <w:t xml:space="preserve">   |   </w:t>
    </w:r>
    <w:r>
      <w:rPr>
        <w:rFonts w:ascii="Calibri" w:hAnsi="Calibri"/>
        <w:color w:val="666666"/>
        <w:sz w:val="19"/>
      </w:rPr>
      <w:t>Sub-Processor List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/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50"/>
        </w:tabs>
        <w:ind w:left="550" w:hanging="260"/>
      </w:p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pacing w:after="120" w:line="269" w:lineRule="auto"/>
    </w:pPr>
    <w:rPr>
      <w:rFonts w:ascii="Calibri" w:hAnsi="Calibri"/>
      <w:color w:val="444444"/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3A6C4D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4D8F66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3A6C4D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2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274833"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spacing w:after="60" w:line="269" w:lineRule="auto"/>
      <w:ind w:left="720"/>
      <w:contextualSpacing/>
    </w:pPr>
    <w:rPr>
      <w:rFonts w:ascii="Calibri" w:hAnsi="Calibri"/>
      <w:color w:val="444444"/>
      <w:sz w:val="21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verSubtitle">
    <w:name w:val="Cover Subtitle"/>
    <w:pPr>
      <w:spacing w:before="200" w:after="440"/>
    </w:pPr>
    <w:rPr>
      <w:rFonts w:ascii="Calibri" w:hAnsi="Calibri"/>
      <w:b/>
      <w:color w:val="4D8F66"/>
      <w:sz w:val="24"/>
    </w:rPr>
  </w:style>
  <w:style w:type="paragraph" w:customStyle="1" w:styleId="DocumentStatus">
    <w:name w:val="Document Status"/>
    <w:pPr>
      <w:spacing w:before="120" w:after="200"/>
    </w:pPr>
    <w:rPr>
      <w:rFonts w:ascii="Calibri" w:hAnsi="Calibri"/>
      <w:b/>
      <w:color w:val="274833"/>
      <w:sz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Radar Sub-Processor List</dc:title>
  <dc:subject>Student Radar procurement and due-diligence document</dc:subject>
  <dc:creator/>
  <cp:keywords>Student Radar, procurement, due diligence</cp:keywords>
  <dc:description/>
  <cp:lastModifiedBy/>
  <cp:revision>1</cp:revision>
  <dcterms:created xsi:type="dcterms:W3CDTF">2013-12-23T23:15:00Z</dcterms:created>
  <dcterms:modified xsi:type="dcterms:W3CDTF">2013-12-23T23:15:00Z</dcterms:modified>
  <cp:category>Procurement</cp:category>
  <cp:version>1</cp:version>
  <dc:language>en-GB</dc:language>
</cp:coreProperties>
</file>