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pPr>
      <w:r>
        <w:t>Sub Processor List</w:t>
      </w:r>
    </w:p>
    <w:p>
      <w:pPr>
        <w:keepLines/>
      </w:pPr>
      <w:r>
        <w:rPr>
          <w:sz w:val="18"/>
        </w:rPr>
        <w:t xml:space="preserve">Owner: DPO  |  Effective date: 10 September 2026</w:t>
        <w:br/>
        <w:t xml:space="preserve">Next review: September 2027</w:t>
      </w:r>
    </w:p>
    <w:p>
      <w:pPr>
        <w:keepLines/>
      </w:pPr>
      <w:r>
        <w:t xml:space="preserve">This list explains which providers support Student Radar, the information they process and the safeguards that apply. It should be read with DPA Annex 3 and the school’s authorised service configuration.</w:t>
      </w:r>
    </w:p>
    <w:p>
      <w:pPr>
        <w:pStyle w:val="Heading1"/>
        <w:keepLines/>
      </w:pPr>
      <w:r>
        <w:t>Providers and purposes</w:t>
      </w:r>
    </w:p>
    <w:tbl>
      <w:tblPr>
        <w:tblW w:type="auto" w:w="0"/>
        <w:tblLayout w:type="fixed"/>
        <w:tblLook w:firstColumn="1" w:firstRow="1" w:lastColumn="0" w:lastRow="0" w:noHBand="0" w:noVBand="1" w:val="04A0"/>
      </w:tblPr>
      <w:tblGrid>
        <w:gridCol w:w="2232"/>
        <w:gridCol w:w="7603"/>
      </w:tblGrid>
      <w:tr>
        <w:trPr>
          <w:cantSplit/>
          <w:tblHeader/>
        </w:trPr>
        <w:tc>
          <w:tcPr>
            <w:tcW w:type="dxa" w:w="223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E7ECF0"/>
          </w:tcPr>
          <w:p>
            <w:pPr>
              <w:keepLines/>
              <w:spacing w:before="40" w:after="40"/>
            </w:pPr>
            <w:r>
              <w:rPr>
                <w:b/>
                <w:sz w:val="19"/>
              </w:rPr>
              <w:t>Provider and entity</w:t>
            </w:r>
          </w:p>
        </w:tc>
        <w:tc>
          <w:tcPr>
            <w:tcW w:type="dxa" w:w="760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shd w:fill="E7ECF0"/>
          </w:tcPr>
          <w:p>
            <w:pPr>
              <w:keepLines/>
              <w:spacing w:before="40" w:after="40"/>
            </w:pPr>
            <w:r>
              <w:rPr>
                <w:b/>
                <w:sz w:val="19"/>
              </w:rPr>
              <w:t>Service and information</w:t>
            </w:r>
          </w:p>
        </w:tc>
      </w:tr>
      <w:tr>
        <w:trPr>
          <w:cantSplit/>
        </w:trPr>
        <w:tc>
          <w:tcPr>
            <w:tcW w:type="dxa" w:w="223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keepLines/>
              <w:spacing w:before="40" w:after="40"/>
            </w:pPr>
            <w:r>
              <w:rPr>
                <w:b w:val="0"/>
                <w:sz w:val="19"/>
              </w:rPr>
              <w:t xml:space="preserve">Supabase</w:t>
              <w:br/>
              <w:t xml:space="preserve">Supabase Pte. Ltd.</w:t>
            </w:r>
          </w:p>
        </w:tc>
        <w:tc>
          <w:tcPr>
            <w:tcW w:type="dxa" w:w="760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keepLines/>
              <w:spacing w:before="40" w:after="40"/>
            </w:pPr>
            <w:r>
              <w:rPr>
                <w:b w:val="0"/>
                <w:sz w:val="19"/>
              </w:rPr>
              <w:t>Database, authentication, file storage and Edge Functions. School records, files, account information and requests. Core.</w:t>
            </w:r>
          </w:p>
        </w:tc>
      </w:tr>
      <w:tr>
        <w:trPr>
          <w:cantSplit/>
        </w:trPr>
        <w:tc>
          <w:tcPr>
            <w:tcW w:type="dxa" w:w="223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keepLines/>
              <w:spacing w:before="40" w:after="40"/>
            </w:pPr>
            <w:r>
              <w:rPr>
                <w:b w:val="0"/>
                <w:sz w:val="19"/>
              </w:rPr>
              <w:t xml:space="preserve">Vercel</w:t>
              <w:br/>
              <w:t xml:space="preserve">Vercel Inc.</w:t>
            </w:r>
          </w:p>
        </w:tc>
        <w:tc>
          <w:tcPr>
            <w:tcW w:type="dxa" w:w="760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keepLines/>
              <w:spacing w:before="40" w:after="40"/>
            </w:pPr>
            <w:r>
              <w:rPr>
                <w:b w:val="0"/>
                <w:sz w:val="19"/>
              </w:rPr>
              <w:t>Application delivery, applicable execution, analytics and uptime monitoring. Request, device, usage and technical information. Core; analytics subject to consent.</w:t>
            </w:r>
          </w:p>
        </w:tc>
      </w:tr>
      <w:tr>
        <w:trPr>
          <w:cantSplit/>
        </w:trPr>
        <w:tc>
          <w:tcPr>
            <w:tcW w:type="dxa" w:w="223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keepLines/>
              <w:spacing w:before="40" w:after="40"/>
            </w:pPr>
            <w:r>
              <w:rPr>
                <w:b w:val="0"/>
                <w:sz w:val="19"/>
              </w:rPr>
              <w:t xml:space="preserve">Wonde</w:t>
              <w:br/>
              <w:t xml:space="preserve">Wonde Limited</w:t>
            </w:r>
          </w:p>
        </w:tc>
        <w:tc>
          <w:tcPr>
            <w:tcW w:type="dxa" w:w="760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keepLines/>
              <w:spacing w:before="40" w:after="40"/>
            </w:pPr>
            <w:r>
              <w:rPr>
                <w:b w:val="0"/>
                <w:sz w:val="19"/>
              </w:rPr>
              <w:t>School-authorised MIS integration. Permitted pupil, staff and family records, including authorised sensitive fields. Core integration.</w:t>
            </w:r>
          </w:p>
        </w:tc>
      </w:tr>
      <w:tr>
        <w:trPr>
          <w:cantSplit/>
        </w:trPr>
        <w:tc>
          <w:tcPr>
            <w:tcW w:type="dxa" w:w="223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keepLines/>
              <w:spacing w:before="40" w:after="40"/>
            </w:pPr>
            <w:r>
              <w:rPr>
                <w:b w:val="0"/>
                <w:sz w:val="19"/>
              </w:rPr>
              <w:t xml:space="preserve">Twilio</w:t>
              <w:br/>
              <w:t xml:space="preserve">Twilio group; Twilio Inc. is the DPA transfer importer</w:t>
            </w:r>
          </w:p>
        </w:tc>
        <w:tc>
          <w:tcPr>
            <w:tcW w:type="dxa" w:w="760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keepLines/>
              <w:spacing w:before="40" w:after="40"/>
            </w:pPr>
            <w:r>
              <w:rPr>
                <w:b w:val="0"/>
                <w:sz w:val="19"/>
              </w:rPr>
              <w:t>SMS and voice where used. Telephone numbers, message/call content, recordings where used and delivery metadata. Where used.</w:t>
            </w:r>
          </w:p>
        </w:tc>
      </w:tr>
      <w:tr>
        <w:trPr>
          <w:cantSplit/>
        </w:trPr>
        <w:tc>
          <w:tcPr>
            <w:tcW w:type="dxa" w:w="223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keepLines/>
              <w:spacing w:before="40" w:after="40"/>
            </w:pPr>
            <w:r>
              <w:rPr>
                <w:b w:val="0"/>
                <w:sz w:val="19"/>
              </w:rPr>
              <w:t xml:space="preserve">Brevo</w:t>
              <w:br/>
              <w:t xml:space="preserve">Sendinblue SAS trading as Brevo</w:t>
            </w:r>
          </w:p>
        </w:tc>
        <w:tc>
          <w:tcPr>
            <w:tcW w:type="dxa" w:w="760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keepLines/>
              <w:spacing w:before="40" w:after="40"/>
            </w:pPr>
            <w:r>
              <w:rPr>
                <w:b w:val="0"/>
                <w:sz w:val="19"/>
              </w:rPr>
              <w:t>Transactional email. Recipients, message content, attachments where supplied and delivery information. Current email provider.</w:t>
            </w:r>
          </w:p>
        </w:tc>
      </w:tr>
      <w:tr>
        <w:trPr>
          <w:cantSplit/>
        </w:trPr>
        <w:tc>
          <w:tcPr>
            <w:tcW w:type="dxa" w:w="223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keepLines/>
              <w:spacing w:before="40" w:after="40"/>
            </w:pPr>
            <w:r>
              <w:rPr>
                <w:b w:val="0"/>
                <w:sz w:val="19"/>
              </w:rPr>
              <w:t xml:space="preserve">OpenAI</w:t>
              <w:br/>
              <w:t xml:space="preserve">OpenAI OpCo, LLC</w:t>
            </w:r>
          </w:p>
        </w:tc>
        <w:tc>
          <w:tcPr>
            <w:tcW w:type="dxa" w:w="760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keepLines/>
              <w:spacing w:before="40" w:after="40"/>
            </w:pPr>
            <w:r>
              <w:rPr>
                <w:b w:val="0"/>
                <w:sz w:val="19"/>
              </w:rPr>
              <w:t>Authorised AI drafting, analysis and translation. Minimised task inputs and generated outputs, potentially including sensitive narrative information. Standard AI.</w:t>
            </w:r>
          </w:p>
        </w:tc>
      </w:tr>
      <w:tr>
        <w:trPr>
          <w:cantSplit/>
        </w:trPr>
        <w:tc>
          <w:tcPr>
            <w:tcW w:type="dxa" w:w="223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keepLines/>
              <w:spacing w:before="40" w:after="40"/>
            </w:pPr>
            <w:r>
              <w:rPr>
                <w:b w:val="0"/>
                <w:sz w:val="19"/>
              </w:rPr>
              <w:t xml:space="preserve">Sentry</w:t>
              <w:br/>
              <w:t xml:space="preserve">Functional Software, Inc. trading as Sentry</w:t>
            </w:r>
          </w:p>
        </w:tc>
        <w:tc>
          <w:tcPr>
            <w:tcW w:type="dxa" w:w="760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keepLines/>
              <w:spacing w:before="40" w:after="40"/>
            </w:pPr>
            <w:r>
              <w:rPr>
                <w:b w:val="0"/>
                <w:sz w:val="19"/>
              </w:rPr>
              <w:t>Error and technical-event monitoring where enabled. Minimised error/event and request information. Where enabled.</w:t>
            </w:r>
          </w:p>
        </w:tc>
      </w:tr>
      <w:tr>
        <w:trPr>
          <w:cantSplit/>
        </w:trPr>
        <w:tc>
          <w:tcPr>
            <w:tcW w:type="dxa" w:w="223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keepLines/>
              <w:spacing w:before="40" w:after="40"/>
            </w:pPr>
            <w:r>
              <w:rPr>
                <w:b w:val="0"/>
                <w:sz w:val="19"/>
              </w:rPr>
              <w:t xml:space="preserve">AssemblyAI</w:t>
              <w:br/>
              <w:t xml:space="preserve">AssemblyAI Inc.</w:t>
            </w:r>
          </w:p>
        </w:tc>
        <w:tc>
          <w:tcPr>
            <w:tcW w:type="dxa" w:w="760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keepLines/>
              <w:spacing w:before="40" w:after="40"/>
            </w:pPr>
            <w:r>
              <w:rPr>
                <w:b w:val="0"/>
                <w:sz w:val="19"/>
              </w:rPr>
              <w:t>Authorised audio transcription, including streaming and relevant recording workflows. Audio, transcripts, speaker information and task metadata; these may contain sensitive school information. Authorised transcription.</w:t>
            </w:r>
          </w:p>
        </w:tc>
      </w:tr>
      <w:tr>
        <w:trPr>
          <w:cantSplit/>
        </w:trPr>
        <w:tc>
          <w:tcPr>
            <w:tcW w:type="dxa" w:w="2232"/>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keepLines/>
              <w:spacing w:before="40" w:after="40"/>
            </w:pPr>
            <w:r>
              <w:rPr>
                <w:b w:val="0"/>
                <w:sz w:val="19"/>
              </w:rPr>
              <w:t xml:space="preserve">Contentsquare</w:t>
              <w:br/>
              <w:t xml:space="preserve">Content Square Ltd. for UK order forms; Content Square SAS for online terms</w:t>
            </w:r>
          </w:p>
        </w:tc>
        <w:tc>
          <w:tcPr>
            <w:tcW w:type="dxa" w:w="7603"/>
            <w:vAlign w:val="center"/>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keepLines/>
              <w:spacing w:before="40" w:after="40"/>
            </w:pPr>
            <w:r>
              <w:rPr>
                <w:b w:val="0"/>
                <w:sz w:val="19"/>
              </w:rPr>
              <w:t xml:space="preserve">Optional experience and usage analytics. Device, browsing and interaction information for consented analytics. Subject to data minimisation and protection of sensitive content.</w:t>
            </w:r>
          </w:p>
        </w:tc>
      </w:tr>
    </w:tbl>
    <w:p>
      <w:pPr>
        <w:keepLines/>
        <w:spacing w:after="0"/>
      </w:pPr>
    </w:p>
    <w:p>
      <w:pPr>
        <w:pStyle w:val="Heading1"/>
        <w:keepNext/>
        <w:keepLines/>
      </w:pPr>
      <w:r>
        <w:t>School choice and instructions</w:t>
      </w:r>
    </w:p>
    <w:p>
      <w:pPr>
        <w:keepLines/>
      </w:pPr>
      <w:r>
        <w:t>The school’s service configuration determines which applicable communication and monitoring services are used. AI is included in the service and supports human judgement. Each provider receives only the information needed for the authorised purpose; email, telemetry and pseudonymised data can still be personal data.</w:t>
      </w:r>
    </w:p>
    <w:p>
      <w:pPr>
        <w:keepLines/>
      </w:pPr>
      <w:r/>
    </w:p>
    <w:p>
      <w:pPr>
        <w:pStyle w:val="Heading1"/>
        <w:keepNext/>
        <w:keepLines/>
      </w:pPr>
      <w:r>
        <w:t>Processing locations</w:t>
      </w:r>
    </w:p>
    <w:p>
      <w:pPr>
        <w:keepLines/>
      </w:pPr>
      <w:r>
        <w:t>Our location policy keeps the primary school-record database, file storage and their backups in the United Kingdom. Other processing, including email delivery, AI and provider support, is limited to the providers, purposes and locations authorised in the DPA. UK primary storage does not mean that all processing takes place in the UK.</w:t>
      </w:r>
    </w:p>
    <w:p>
      <w:pPr>
        <w:keepLines/>
      </w:pPr>
      <w:r>
        <w:rPr>
          <w:b w:val="0"/>
        </w:rPr>
        <w:t xml:space="preserve">The descriptions below distinguish primary UK storage from other provider processing. Providers with more than one contracting entity or hosting option operate under the arrangement for the contracted service. All processing remains subject to the DPA and the school’s instructions.</w:t>
      </w:r>
    </w:p>
    <w:p>
      <w:pPr>
        <w:keepLines/>
      </w:pPr>
      <w:r>
        <w:rPr>
          <w:b w:val="0"/>
        </w:rPr>
        <w:t xml:space="preserve">Supabase: United Kingdom (London): primary school-record database, file storage and primary backups. Edge execution, service logs and support are subject to Supabase’s service locations and the international-transfer restrictions in DPA Section 9. Provider DPA and SCCs with UK Addendum for relevant restricted transfers; UK primary-store requirement applies.</w:t>
      </w:r>
    </w:p>
    <w:p>
      <w:pPr>
        <w:keepLines/>
      </w:pPr>
      <w:r>
        <w:rPr>
          <w:b w:val="0"/>
        </w:rPr>
        <w:t xml:space="preserve">Vercel: United Kingdom (London): default application-function execution. Application delivery uses a distributed content-delivery network; analytics, logs and support can involve other Vercel service locations, subject to DPA Section 9. Provider DPA and its UK transfer terms for relevant restricted transfers; access, diagnostic-data minimisation and applicable analytics consent.</w:t>
      </w:r>
    </w:p>
    <w:p>
      <w:pPr>
        <w:keepLines/>
      </w:pPr>
      <w:r>
        <w:rPr>
          <w:b w:val="0"/>
        </w:rPr>
        <w:t xml:space="preserve">Wonde: United Kingdom-based MIS integration provider. Processing and any international support or onward access are governed by the school-authorised integration agreement and DPA Section 9. School/integration processing agreement; applicable transfer safeguards for any overseas access or onward processing.</w:t>
      </w:r>
    </w:p>
    <w:p>
      <w:pPr>
        <w:keepLines/>
      </w:pPr>
      <w:r>
        <w:rPr>
          <w:b w:val="0"/>
        </w:rPr>
        <w:t xml:space="preserve">Twilio: SMS and voice processing depend on the selected service region, destination and telecommunications-carrier routing. International processing and support are governed by the Twilio DPA and DPA Section 9. Provider DPA; applicable UK transfer mechanism for the actual importer and onward recipients; service-specific deletion.</w:t>
      </w:r>
    </w:p>
    <w:p>
      <w:pPr>
        <w:keepLines/>
      </w:pPr>
      <w:r>
        <w:rPr>
          <w:b w:val="0"/>
        </w:rPr>
        <w:t xml:space="preserve">Brevo: France, Germany and Belgium: hosting. Group support and maintenance can involve India and the United States, subject to the applicable transfer safeguards. Brevo DPA; UK adequacy for applicable EEA transfers and appropriate safeguards for onward transfers. Configured retention and deletion arrangements apply within the DPA deadlines.</w:t>
      </w:r>
    </w:p>
    <w:p>
      <w:pPr>
        <w:keepLines/>
      </w:pPr>
      <w:r>
        <w:rPr>
          <w:b w:val="0"/>
        </w:rPr>
        <w:t xml:space="preserve">OpenAI: International AI processing under the OpenAI DPA. UK regional storage is available for eligible configurations; UK regional inference is not available. Processing remains subject to the service configuration and DPA Section 9. Provider DPA and applicable UK transfer safeguards. The AI terms prohibit model training and require no retained input/output content, including abuse-monitoring copies, for authorised processing.</w:t>
      </w:r>
    </w:p>
    <w:p>
      <w:pPr>
        <w:keepLines/>
      </w:pPr>
      <w:r>
        <w:rPr>
          <w:b w:val="0"/>
        </w:rPr>
        <w:t xml:space="preserve">Sentry: Germany (Frankfurt) for the EU event service; some account metadata is processed in the United States. International support and onward processing remain subject to the Sentry DPA and DPA Section 9. Provider DPA and applicable UK transfer safeguards; minimisation and applicable collection/consent controls.</w:t>
      </w:r>
    </w:p>
    <w:p>
      <w:pPr>
        <w:keepLines/>
      </w:pPr>
      <w:r>
        <w:rPr>
          <w:b w:val="0"/>
        </w:rPr>
        <w:t xml:space="preserve">AssemblyAI: United States: batch-transcription endpoint. Global streaming can route to the United States or Ireland. Processing and support remain subject to the AssemblyAI DPA and DPA Section 9. Provider DPA and applicable UK transfer safeguards. No training and content-retention controls must cover the actual batch/streaming mode under the AI requirements.</w:t>
      </w:r>
    </w:p>
    <w:p>
      <w:pPr>
        <w:keepLines/>
      </w:pPr>
      <w:r>
        <w:rPr>
          <w:b w:val="0"/>
        </w:rPr>
        <w:t xml:space="preserve">Contentsquare: Ireland for Free/Growth Experience Analytics; Ireland or United States (Virginia) for Pro/Enterprise. Hosting depends on the contracted plan. International affiliate support is governed by the provider DPA and DPA Section 9. Provider DPA and applicable UK transfer safeguards; analytics consent, data minimisation, masking and retention controls. New capture or AI uses remain subject to the school’s instructions.</w:t>
      </w:r>
    </w:p>
    <w:p>
      <w:pPr>
        <w:keepLines/>
      </w:pPr>
      <w:r>
        <w:rPr>
          <w:b w:val="0"/>
        </w:rPr>
        <w:t xml:space="preserve">We maintain the provider register and supply information about the applicable processing arrangements and safeguards on request. DPA Annex 3 contains the same provider inventory. Existing restrictions and the notice and objection process apply to material changes.</w:t>
      </w:r>
    </w:p>
    <w:p>
      <w:pPr>
        <w:pStyle w:val="Heading1"/>
        <w:keepNext/>
        <w:keepLines/>
      </w:pPr>
      <w:r>
        <w:t>Provider obligations</w:t>
      </w:r>
    </w:p>
    <w:p>
      <w:pPr>
        <w:keepLines/>
      </w:pPr>
      <w:r>
        <w:t>Our provider requirements include written processing terms, confidentiality, appropriate security, assistance with incidents and individual rights, controlled onward processing, and return or deletion of school information. We remain responsible to the school for our sub-processor obligations under the DPA.</w:t>
      </w:r>
    </w:p>
    <w:p>
      <w:pPr>
        <w:keepLines/>
      </w:pPr>
      <w:r>
        <w:t>For a restricted transfer, the applicable mechanism is documented for the actual recipient and destination. UK adequacy regulations or an appropriate UK safeguard may apply. Onward transfers and support access are considered separately from the primary hosting location. A certification does not replace these obligations.</w:t>
      </w:r>
    </w:p>
    <w:p>
      <w:pPr>
        <w:pStyle w:val="Heading1"/>
        <w:keepNext/>
        <w:keepLines/>
      </w:pPr>
      <w:r>
        <w:t>Changes and objections</w:t>
      </w:r>
    </w:p>
    <w:p>
      <w:pPr>
        <w:keepLines/>
      </w:pPr>
      <w:r>
        <w:t>We give at least 30 calendar days’ written notice of a planned sub-processor addition, replacement or material location change. Schools have 14 calendar days from notice to raise a reasoned data-protection objection. We address objections before the affected processing changes. A shorter notice period requires prior written agreement; an urgent incident does not create permission for an undisclosed transfer.</w:t>
      </w:r>
    </w:p>
    <w:p>
      <w:pPr>
        <w:keepLines/>
      </w:pPr>
      <w:r>
        <w:t>If an acceptable safeguard or alternative cannot be agreed, the new provider does not receive the affected information and the parties arrange how the affected processing will cease. Any existing stricter written restriction remains applicable. Changes to providers do not alter the purpose for which school information may be used.</w:t>
      </w:r>
    </w:p>
    <w:p>
      <w:pPr>
        <w:pStyle w:val="Heading1"/>
        <w:keepNext/>
        <w:keepLines/>
      </w:pPr>
      <w:r>
        <w:t>Further information</w:t>
      </w:r>
    </w:p>
    <w:p>
      <w:pPr>
        <w:keepLines/>
      </w:pPr>
      <w:r>
        <w:rPr>
          <w:b w:val="0"/>
        </w:rPr>
        <w:t>Contact dpo@studentradar.com for the applicable provider schedule, questions about a provider or a data-protection objection. The DPO maintains this list and reviews it when a provider or material processing arrangement changes.</w:t>
      </w:r>
    </w:p>
    <w:p>
      <w:pPr>
        <w:pStyle w:val="Heading1"/>
        <w:keepNext/>
        <w:keepLines/>
      </w:pPr>
      <w:r>
        <w:t>Contact</w:t>
      </w:r>
    </w:p>
    <w:p>
      <w:pPr>
        <w:keepLines/>
      </w:pPr>
      <w:r>
        <w:rPr>
          <w:sz w:val="18"/>
        </w:rPr>
        <w:t>SENDlink LTD trading as Student Radar | Company number 16602655</w:t>
        <w:br/>
        <w:t>dpo@studentradar.com | support@studentradar.com</w:t>
        <w:br/>
        <w:t>10 Masefield Gardens, Plymouth, PL5 3HU | www.studentradar.com</w:t>
      </w:r>
    </w:p>
    <w:sectPr w:rsidR="00FC693F" w:rsidRPr="0006063C" w:rsidSect="00034616">
      <w:headerReference w:type="default" r:id="rId9"/>
      <w:footerReference w:type="default" r:id="rId10"/>
      <w:headerReference w:type="first" r:id="rId12"/>
      <w:footerReference w:type="first" r:id="rId13"/>
      <w:pgSz w:w="11909" w:h="16834"/>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Version 3.3  |  Page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6"/>
      </w:rPr>
      <w:t>STUDENT RADAR</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 Processor List</dc:title>
  <dc:subject/>
  <dc:creator>Student Radar</dc:creator>
  <cp:keywords/>
  <dc:description/>
  <cp:lastModifiedBy>Student Radar</cp:lastModifiedBy>
  <cp:revision>1</cp:revision>
  <dcterms:created xsi:type="dcterms:W3CDTF">2013-12-23T23:15:00Z</dcterms:created>
  <dcterms:modified xsi:type="dcterms:W3CDTF">2013-12-23T23:15:00Z</dcterms:modified>
  <cp:category/>
</cp:coreProperties>
</file>