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 Policy</w:t>
      </w:r>
    </w:p>
    <w:p>
      <w:r>
        <w:rPr>
          <w:sz w:val="18"/>
        </w:rPr>
        <w:t xml:space="preserve">Owner: DPO  |  Effective date: 10 September 2026</w:t>
        <w:br/>
        <w:t xml:space="preserve">Next review: September 2027</w:t>
      </w:r>
    </w:p>
    <w:p>
      <w:r>
        <w:t>This notice explains how SENDlink LTD trading as Student Radar handles personal data and how to raise a question or exercise a right. For school records, the school or trust normally decides why and how information is used and acts as controller. We process those records on its instructions.</w:t>
      </w:r>
    </w:p>
    <w:p>
      <w:pPr>
        <w:pStyle w:val="Heading1"/>
      </w:pPr>
      <w:r>
        <w:t>School information and sources</w:t>
      </w:r>
    </w:p>
    <w:p>
      <w:r>
        <w:t>Depending on the school’s authorised use, records may include pupil identity, attendance, assessments, SEND and health information, safeguarding records, attachments, communications, staff accounts and family contacts. Sources include the school’s MIS integration through Wonde, authorised staff and the family or other input routes used by the school.</w:t>
      </w:r>
    </w:p>
    <w:p>
      <w:r>
        <w:t>Some records contain special-category information or criminal allegations. The school identifies the lawful basis, relevant sensitive-data conditions and safeguards, and explains its processing in its own privacy information. A subscription agreement does not replace those requirements.</w:t>
      </w:r>
    </w:p>
    <w:p>
      <w:pPr>
        <w:pStyle w:val="Heading1"/>
      </w:pPr>
      <w:r>
        <w:t>Our own business information</w:t>
      </w:r>
    </w:p>
    <w:p>
      <w:r>
        <w:t>We act as controller where we determine a separate purpose for our business-contact, enquiry, contractual and billing records. Handling information on a school’s instructions remains processor activity.</w:t>
      </w:r>
    </w:p>
    <w:tbl>
      <w:tblPr>
        <w:tblW w:type="auto" w:w="0"/>
        <w:tblLayout w:type="fixed"/>
        <w:tblLook w:firstColumn="1" w:firstRow="1" w:lastColumn="0" w:lastRow="0" w:noHBand="0" w:noVBand="1" w:val="04A0"/>
      </w:tblPr>
      <w:tblGrid>
        <w:gridCol w:w="2592"/>
        <w:gridCol w:w="7243"/>
      </w:tblGrid>
      <w:tr>
        <w:trPr>
          <w:cantSplit/>
          <w:tblHeader/>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E7ECF0"/>
          </w:tcPr>
          <w:p>
            <w:pPr>
              <w:spacing w:before="40" w:after="40"/>
            </w:pPr>
            <w:r>
              <w:rPr>
                <w:b/>
                <w:sz w:val="19"/>
              </w:rPr>
              <w:t>Purpose</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E7ECF0"/>
          </w:tcPr>
          <w:p>
            <w:pPr>
              <w:spacing w:before="40" w:after="40"/>
            </w:pPr>
            <w:r>
              <w:rPr>
                <w:b/>
                <w:sz w:val="19"/>
              </w:rPr>
              <w:t>Lawful basis and retention</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Enquiries and business relationships</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Legitimate interests in answering enquiries and managing the relationship, balanced against individual rights. Retained only while needed.</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Contract administration</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Legitimate interests in administering and evidencing the agreement. Policy period: agreement plus six years.</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Accounting and tax</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Applicable legal obligations and the relevant statutory retention period.</w:t>
            </w:r>
          </w:p>
        </w:tc>
      </w:tr>
      <w:tr>
        <w:trPr>
          <w:cantSplit/>
        </w:trPr>
        <w:tc>
          <w:tcPr>
            <w:tcW w:type="dxa" w:w="259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Our own service security</w:t>
            </w:r>
          </w:p>
        </w:tc>
        <w:tc>
          <w:tcPr>
            <w:tcW w:type="dxa" w:w="724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before="40" w:after="40"/>
            </w:pPr>
            <w:r>
              <w:rPr>
                <w:b w:val="0"/>
                <w:sz w:val="19"/>
              </w:rPr>
              <w:t>Legitimate interests in protecting the service, with minimisation. Security logs: 90 days; diagnostics: 30 days.</w:t>
            </w:r>
          </w:p>
        </w:tc>
      </w:tr>
    </w:tbl>
    <w:p>
      <w:pPr>
        <w:spacing w:after="0"/>
      </w:pPr>
    </w:p>
    <w:p>
      <w:r>
        <w:t>These purposes do not authorise unrelated reuse of school pupil narratives. Our contact details appear at the end of this notice.</w:t>
      </w:r>
    </w:p>
    <w:p>
      <w:r>
        <w:br w:type="page"/>
      </w:r>
    </w:p>
    <w:p>
      <w:pPr>
        <w:pStyle w:val="Heading1"/>
      </w:pPr>
      <w:r>
        <w:t>AI and analysis</w:t>
      </w:r>
    </w:p>
    <w:p>
      <w:r>
        <w:t>AI is included in the service to help staff explore information and prepare drafts. Authorised staff review the sources, limitations and output before use, and can amend or reject it. AI does not determine a diagnosis, SEND status, safeguarding action or another significant decision automatically.</w:t>
      </w:r>
    </w:p>
    <w:p>
      <w:r>
        <w:t>Analysis can involve profiling even where a person makes the decision. The school explains the features it uses and the role of staff judgement. Minimised or pseudonymised inputs remain personal data where they can identify or be linked to a person.</w:t>
      </w:r>
    </w:p>
    <w:p>
      <w:r>
        <w:rPr>
          <w:b w:val="0"/>
        </w:rPr>
        <w:t xml:space="preserve">We prohibit AI providers from training their models on school Personal Data and require no retained input or output content, including abuse-monitoring copies. These controls apply to the authorised AI features and transcription modes under the DPA. Changes to those arrangements require assessment and the school’s prior written authorisation.</w:t>
      </w:r>
    </w:p>
    <w:p>
      <w:pPr>
        <w:pStyle w:val="Heading1"/>
      </w:pPr>
      <w:r>
        <w:t>Providers and international processing</w:t>
      </w:r>
    </w:p>
    <w:p>
      <w:r>
        <w:rPr>
          <w:b w:val="0"/>
        </w:rPr>
        <w:t>Providers include Supabase for database, authentication, storage and applicable execution; Vercel for delivery, analytics and monitoring; Wonde for MIS integration; OpenAI for AI assistance; Brevo for email; and AssemblyAI for authorised transcription. Twilio, Sentry and Contentsquare apply where used. Recipients receive the contact, communication, audio, attachment, device or interaction information needed for the authorised service.</w:t>
      </w:r>
    </w:p>
    <w:p>
      <w:r>
        <w:t>Our location policy keeps the primary school-record database, file storage and their backups in the United Kingdom. Other processing, including email delivery, AI and provider support, is limited to the providers, purposes and locations authorised in the DPA. UK primary storage does not mean that all processing takes place in the UK.</w:t>
      </w:r>
    </w:p>
    <w:p>
      <w:r>
        <w:t>Brevo publishes EU hosting locations in France, Germany and Belgium. Provider locations, support access and onward processing are recorded in the authorised DPA schedule. Restricted transfers rely on applicable UK adequacy regulations or appropriate safeguards, with the assessment required for that mechanism. Ask dpo@studentradar.com for information about the relevant safeguards.</w:t>
      </w:r>
    </w:p>
    <w:p>
      <w:pPr>
        <w:pStyle w:val="Heading1"/>
      </w:pPr>
      <w:r>
        <w:t>Retention and protection</w:t>
      </w:r>
    </w:p>
    <w:p>
      <w:r>
        <w:rPr>
          <w:b w:val="0"/>
        </w:rPr>
        <w:t>The DPA requires return of school Personal Data and deletion of remaining live copies, or deletion at the school’s choice, within 30 days of termination. It requires a 30-day rolling backup cycle and final expiry of isolated residual copies by day 60 from termination. Deleted records must be excluded from new backups, and deletion instructions reapplied before restored data returns to use.</w:t>
      </w:r>
    </w:p>
    <w:p>
      <w:r>
        <w:rPr>
          <w:b w:val="0"/>
        </w:rPr>
        <w:t xml:space="preserve">Our retention rules are 30 days for diagnostic and request logs, 90 days for security and authentication logs and 12 months for truly anonymous analytics. Diagnostic logs must exclude pupil narratives and AI prompts. School-record audit history and saved AI material follow the associated record and DPA exit terms.</w:t>
      </w:r>
    </w:p>
    <w:p>
      <w:r>
        <w:t>The school arranges continued custody of records it needs after exit. Limited retention required by law remains protected under the DPA. Our Information Security Policy describes the required access, encryption, development and incident standards.</w:t>
      </w:r>
    </w:p>
    <w:p>
      <w:r>
        <w:br w:type="page"/>
      </w:r>
    </w:p>
    <w:p>
      <w:pPr>
        <w:pStyle w:val="Heading1"/>
      </w:pPr>
      <w:r>
        <w:t>Your rights</w:t>
      </w:r>
    </w:p>
    <w:p>
      <w:r>
        <w:t>Depending on the processing, you may have rights of access, correction, erasure, restriction, objection and portability. Portability applies to qualifying automated processing based on consent or contract; it is separate from the school’s service export facility. Where processing relies on consent, you may withdraw it without affecting earlier lawful processing.</w:t>
      </w:r>
    </w:p>
    <w:p>
      <w:r>
        <w:t>For school-controlled information, contact the school first or ask us to forward your request. The school assesses a child’s competence and any representative’s authority. We handle requests about our own controller records. Rights requests normally require a response within one calendar month, subject to applicable lawful adjustments or extensions.</w:t>
      </w:r>
    </w:p>
    <w:p>
      <w:r>
        <w:t>Our target for assisting a school with a subject-access request is five working days, with a maximum of 10 calendar days and faster assistance where its statutory deadline requires it. The school determines the response, exemptions, redactions and authority of anyone acting for the individual.</w:t>
      </w:r>
    </w:p>
    <w:p>
      <w:pPr>
        <w:pStyle w:val="Heading1"/>
      </w:pPr>
      <w:r>
        <w:t>Cookies and device storage</w:t>
      </w:r>
    </w:p>
    <w:p>
      <w:r>
        <w:rPr>
          <w:b w:val="0"/>
        </w:rPr>
        <w:t xml:space="preserve">Authentication and security use cookies or device storage. Optional analytics and monitoring include Vercel, Sentry and Contentsquare where enabled. Optional analytics load after analytics consent. You may refuse optional analytics or withdraw consent. Contact dpo@studentradar.com for help with your preferences or information about these technologies; browser controls can affect sign-in.</w:t>
      </w:r>
    </w:p>
    <w:p>
      <w:r>
        <w:t xml:space="preserve">Cookie and device-storage settings are separate from the retention periods for service records. Contact us for information about the technologies used, their providers, purposes and lifetimes.</w:t>
      </w:r>
    </w:p>
    <w:p>
      <w:pPr>
        <w:pStyle w:val="Heading1"/>
      </w:pPr>
      <w:r>
        <w:t>Complaints and contact</w:t>
      </w:r>
    </w:p>
    <w:p>
      <w:r>
        <w:t>Raise a privacy complaint at dpo@studentradar.com. We acknowledge complaints within 30 days, investigate appropriately, keep you informed and communicate the outcome without undue delay. This does not extend the deadline for a rights request.</w:t>
      </w:r>
    </w:p>
    <w:p>
      <w:r>
        <w:rPr>
          <w:b w:val="0"/>
        </w:rPr>
        <w:t>You can also seek advice or raise a concern with the Information Commissioner’s Office at ico.org.uk or on 0303 123 1113. The DPO reviews this notice annually and when our processing changes. Continued use is not treated as consent to new purposes or undisclosed transfers.</w:t>
      </w:r>
    </w:p>
    <w:p>
      <w:pPr>
        <w:pStyle w:val="Heading1"/>
      </w:pPr>
      <w:r>
        <w:t>Contact</w:t>
      </w:r>
    </w:p>
    <w:p>
      <w:r>
        <w:rPr>
          <w:sz w:val="18"/>
        </w:rPr>
        <w:t>SENDlink LTD trading as Student Radar | Company number 16602655</w:t>
        <w:br/>
        <w:t>dpo@studentradar.com | support@studentradar.com</w:t>
        <w:br/>
        <w:t>10 Masefield Gardens, Plymouth, PL5 3HU | www.studentradar.com</w:t>
      </w:r>
    </w:p>
    <w:sectPr w:rsidR="00FC693F" w:rsidRPr="0006063C" w:rsidSect="00034616">
      <w:headerReference w:type="default" r:id="rId9"/>
      <w:footerReference w:type="default" r:id="rId10"/>
      <w:headerReference w:type="first" r:id="rId12"/>
      <w:footerReference w:type="first" r:id="rId13"/>
      <w:pgSz w:w="11909" w:h="16834"/>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3.3  |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STUDENT RADAR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subject/>
  <dc:creator>Student Radar</dc:creator>
  <cp:keywords/>
  <dc:description/>
  <cp:lastModifiedBy>Student Radar</cp:lastModifiedBy>
  <cp:revision>1</cp:revision>
  <dcterms:created xsi:type="dcterms:W3CDTF">2013-12-23T23:15:00Z</dcterms:created>
  <dcterms:modified xsi:type="dcterms:W3CDTF">2013-12-23T23:15:00Z</dcterms:modified>
  <cp:category/>
</cp:coreProperties>
</file>