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Information Security Policy</w:t>
      </w:r>
    </w:p>
    <w:p>
      <w:r>
        <w:rPr>
          <w:sz w:val="18"/>
        </w:rPr>
        <w:t xml:space="preserve">Owner: CISO  |  Effective date: 10 September 2026</w:t>
        <w:br/>
        <w:t xml:space="preserve">Next review: September 2027</w:t>
      </w:r>
    </w:p>
    <w:p>
      <w:r>
        <w:t>This policy sets the security standards for Student Radar staff, contractors and the systems used to deliver the service. We protect the confidentiality, integrity and availability of school information through access controls, secure development, supplier management and incident response.</w:t>
      </w:r>
    </w:p>
    <w:p>
      <w:pPr>
        <w:pStyle w:val="Heading1"/>
      </w:pPr>
      <w:r>
        <w:t>Governance and information handling</w:t>
      </w:r>
    </w:p>
    <w:p>
      <w:r>
        <w:rPr>
          <w:b w:val="0"/>
        </w:rPr>
        <w:t>The MD is accountable for security governance. The CISO manages operational controls, risks and corrective actions, supported by the DPO. Personnel must receive role-appropriate training and confidentiality obligations. Access and equipment must be reviewed when duties change or a person leaves.</w:t>
      </w:r>
    </w:p>
    <w:p>
      <w:r>
        <w:t>School data is used for authorised service purposes. Our handling rules limit collection and disclosure, restrict sensitive narratives and attachments, and require secure transfer. Development uses synthetic or genuinely anonymised information. Any controlled recovery exercise involving school information remains subject to the DPA and restricted access.</w:t>
      </w:r>
    </w:p>
    <w:p>
      <w:pPr>
        <w:pStyle w:val="Heading1"/>
      </w:pPr>
      <w:r>
        <w:t>Identity and access</w:t>
      </w:r>
    </w:p>
    <w:p>
      <w:r>
        <w:t>Our access policy requires named accounts, least privilege and authorisation for the specific action and school. A role or menu item alone does not grant access to a pupil record. Sensitive actions require checks at the server or database boundary, including relevant family relationships and restrictions.</w:t>
      </w:r>
    </w:p>
    <w:p>
      <w:r>
        <w:rPr>
          <w:b w:val="0"/>
        </w:rPr>
        <w:t xml:space="preserve">Multi-factor authentication is mandatory for all staff accounts accessing Student Radar and for personnel with privileged production access. Named accounts, least privilege and prompt removal of access apply alongside this requirement. Machine credentials are managed separately with restricted access.</w:t>
      </w:r>
    </w:p>
    <w:p>
      <w:r>
        <w:t>Privileged access is limited to an authorised support or operational need, recorded and withdrawn when no longer required. Secrets are kept outside browser code and ordinary logs. Suspected compromise triggers the incident process.</w:t>
      </w:r>
    </w:p>
    <w:p>
      <w:pPr>
        <w:pStyle w:val="Heading1"/>
      </w:pPr>
      <w:r>
        <w:t>Encryption and service locations</w:t>
      </w:r>
    </w:p>
    <w:p>
      <w:r>
        <w:t>Our security standard requires encryption for school information in transit and at rest, secure management of keys and secrets, and private access to stored files. The technical control schedule records the implemented mechanisms and their scope.</w:t>
      </w:r>
    </w:p>
    <w:p>
      <w:r>
        <w:t>Our location policy keeps the primary school-record database, file storage and their backups in the United Kingdom. Other processing, including email delivery, AI and provider support, is limited to the providers, purposes and locations authorised in the DPA. UK primary storage does not mean that all processing takes place in the UK.</w:t>
      </w:r>
    </w:p>
    <w:p>
      <w:r>
        <w:br w:type="page"/>
      </w:r>
    </w:p>
    <w:p>
      <w:pPr>
        <w:pStyle w:val="Heading1"/>
      </w:pPr>
      <w:r>
        <w:t>Exports and monitoring</w:t>
      </w:r>
    </w:p>
    <w:p>
      <w:r>
        <w:rPr>
          <w:b w:val="0"/>
        </w:rPr>
        <w:t xml:space="preserve">The DPA requires authorised, school-scoped exports, an audit record of actor, time and scope, and the marking specified for supported formats in the export-control schedule. Recipients remain responsible for secure onward handling.</w:t>
      </w:r>
    </w:p>
    <w:p>
      <w:r>
        <w:rPr>
          <w:b w:val="0"/>
        </w:rPr>
        <w:t xml:space="preserve">Our monitoring standard covers suspicious authentication, privileged access, cross-school access attempts and unusual disclosure or export activity. The CISO, DPO and MD receive Snyk alerts around the clock. Alerts are assessed and escalated through the incident-response procedure.</w:t>
      </w:r>
    </w:p>
    <w:p>
      <w:r>
        <w:rPr>
          <w:b w:val="0"/>
        </w:rPr>
        <w:t xml:space="preserve">Our retention rules are 30 days for diagnostic and request logs, 90 days for security and authentication logs and 12 months for truly anonymous analytics. Diagnostic logs must exclude pupil narratives and AI prompts. School-record audit history and saved AI material follow the associated record and DPA exit terms.</w:t>
      </w:r>
    </w:p>
    <w:p>
      <w:pPr>
        <w:pStyle w:val="Heading1"/>
      </w:pPr>
      <w:r>
        <w:t>Secure development and vulnerabilities</w:t>
      </w:r>
    </w:p>
    <w:p>
      <w:r>
        <w:rPr>
          <w:b w:val="0"/>
        </w:rPr>
        <w:t xml:space="preserve">Our security standard requires an independent penetration test at least annually and automated infrastructure vulnerability scanning at least monthly. Changes require proportionate checks. Material changes to authentication, authorisation, tenant isolation, external interfaces or sensitive-data flows require documented risk assessment before release. Additional independent testing is required where material risk is not covered by existing assurance. Findings and corrective actions are recorded.</w:t>
      </w:r>
    </w:p>
    <w:p>
      <w:r>
        <w:t>Critical vulnerabilities affecting the service are assessed without undue delay and patched or effectively mitigated within 48 hours of awareness. Where a patch is unavailable, proportionate containment may include isolating or disabling the affected component. The owner records the mitigation and a plan to validate a permanent fix. Supplier-managed issues are escalated and assessed for their effect on the service.</w:t>
      </w:r>
    </w:p>
    <w:p>
      <w:r>
        <w:t>High-priority issues have a 72-hour remediation target and medium-priority issues a 30-day target. Any inability to meet an applicable commitment is escalated with the impact and corrective plan; an internal exception does not change a customer contract.</w:t>
      </w:r>
    </w:p>
    <w:p>
      <w:pPr>
        <w:pStyle w:val="Heading1"/>
      </w:pPr>
      <w:r>
        <w:t>Continuity and suppliers</w:t>
      </w:r>
    </w:p>
    <w:p>
      <w:r>
        <w:rPr>
          <w:b w:val="0"/>
        </w:rPr>
        <w:t xml:space="preserve">The DPA requires monthly sample restores and quarterly documented recovery exercises covering the database, files, permissions and deletion instructions. Recovery time and the restored recovery point are recorded. Contractual recovery objectives are governed by MSA Section 6.7.</w:t>
      </w:r>
    </w:p>
    <w:p>
      <w:r>
        <w:t>The DPA and Sub-Processor List govern provider use, authorised locations, protection of school information and changes. Our breach duty is without undue delay and within 24 hours of awareness, including supplier incidents and events outside normal support hours.</w:t>
      </w:r>
    </w:p>
    <w:p>
      <w:pPr>
        <w:pStyle w:val="Heading1"/>
      </w:pPr>
      <w:r>
        <w:t>Assurance and review</w:t>
      </w:r>
    </w:p>
    <w:p>
      <w:r>
        <w:t xml:space="preserve">SENDlink LTD holds Cyber Essentials certification covering the Whole Organisation, issued on 20 February 2026 with recertification due on 20 February 2027. The certificate accompanies this pack.</w:t>
      </w:r>
    </w:p>
    <w:p>
      <w:r>
        <w:rPr>
          <w:b w:val="0"/>
        </w:rPr>
        <w:t xml:space="preserve">The CISO reviews this policy at least annually and after material changes. Reviews cover access, retention, export controls, security testing and recovery arrangements. Contractual recovery objectives are governed by the service agreement.</w:t>
      </w:r>
    </w:p>
    <w:p>
      <w:pPr>
        <w:pStyle w:val="Heading1"/>
      </w:pPr>
      <w:r>
        <w:t>Contact</w:t>
      </w:r>
    </w:p>
    <w:p>
      <w:r>
        <w:rPr>
          <w:sz w:val="18"/>
        </w:rPr>
        <w:t>SENDlink LTD trading as Student Radar | Company number 16602655</w:t>
        <w:br/>
        <w:t>dpo@studentradar.com | support@studentradar.com</w:t>
        <w:br/>
        <w:t>10 Masefield Gardens, Plymouth, PL5 3HU | www.studentradar.com</w:t>
      </w:r>
    </w:p>
    <w:sectPr w:rsidR="00FC693F" w:rsidRPr="0006063C" w:rsidSect="00034616">
      <w:headerReference w:type="default" r:id="rId9"/>
      <w:footerReference w:type="default" r:id="rId10"/>
      <w:headerReference w:type="first" r:id="rId12"/>
      <w:footerReference w:type="first" r:id="rId13"/>
      <w:pgSz w:w="11909" w:h="16834"/>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Version 3.3  |  Page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6"/>
      </w:rPr>
      <w:t>STUDENT RADAR</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Security Policy</dc:title>
  <dc:subject/>
  <dc:creator>Student Radar</dc:creator>
  <cp:keywords/>
  <dc:description/>
  <cp:lastModifiedBy>Student Radar</cp:lastModifiedBy>
  <cp:revision>1</cp:revision>
  <dcterms:created xsi:type="dcterms:W3CDTF">2013-12-23T23:15:00Z</dcterms:created>
  <dcterms:modified xsi:type="dcterms:W3CDTF">2013-12-23T23:15:00Z</dcterms:modified>
  <cp:category/>
</cp:coreProperties>
</file>