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Data Retention and Deletion Schedule</w:t>
      </w:r>
    </w:p>
    <w:p>
      <w:pPr>
        <w:pStyle w:val="CoverSubtitle"/>
        <w:spacing w:after="480"/>
      </w:pPr>
      <w:r>
        <w:t>Clarity for Education</w:t>
      </w:r>
    </w:p>
    <w:p>
      <w:pPr>
        <w:spacing w:after="60"/>
      </w:pPr>
      <w:r>
        <w:rPr>
          <w:rFonts w:ascii="Calibri" w:hAnsi="Calibri"/>
          <w:color w:val="666666"/>
          <w:sz w:val="21"/>
        </w:rPr>
        <w:t>Version 1.1</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retention and deletion schedule, based on the reviewed service implementation and supplier register. School-controlled retention and executed agreements remain separate.</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Organisation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Document owner</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Student Radar Data Protection Lead</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Technical review date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Next review</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On a material change to data, providers, contracts or retention controls, and no later than 11 July 2027</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retention and deletion schedule, based on the reviewed service implementation and supplier register. School-controlled retention and executed agreements remain separate.</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Contact</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dpo@studentradar.com</w:t>
            </w:r>
          </w:p>
        </w:tc>
      </w:tr>
    </w:tbl>
    <w:p>
      <w:pPr>
        <w:spacing w:after="0"/>
      </w:pPr>
    </w:p>
    <w:p>
      <w:pPr>
        <w:pStyle w:val="Heading1"/>
        <w:pBdr>
          <w:bottom w:val="single" w:sz="8" w:space="4" w:color="5CB57A"/>
        </w:pBdr>
      </w:pPr>
      <w:r>
        <w:rPr>
          <w:rFonts w:ascii="Calibri" w:hAnsi="Calibri"/>
        </w:rPr>
        <w:t>1. Purpose and scope</w:t>
      </w:r>
    </w:p>
    <w:p>
      <w:r>
        <w:rPr>
          <w:rFonts w:ascii="Calibri" w:hAnsi="Calibri"/>
        </w:rPr>
        <w:t>This schedule records how long SENDlink LTD intends to keep the principal information used by Student Radar, why it is needed and what happens at the end of the period. It covers:</w:t>
      </w:r>
    </w:p>
    <w:p>
      <w:pPr>
        <w:pStyle w:val="ListParagraph"/>
        <w:numPr>
          <w:ilvl w:val="0"/>
          <w:numId w:val="10"/>
        </w:numPr>
      </w:pPr>
      <w:r>
        <w:rPr>
          <w:rFonts w:ascii="Calibri" w:hAnsi="Calibri"/>
        </w:rPr>
        <w:t>Customer Data processed for schools and trusts in the authenticated platform;</w:t>
      </w:r>
    </w:p>
    <w:p>
      <w:pPr>
        <w:pStyle w:val="ListParagraph"/>
        <w:numPr>
          <w:ilvl w:val="0"/>
          <w:numId w:val="10"/>
        </w:numPr>
      </w:pPr>
      <w:r>
        <w:rPr>
          <w:rFonts w:ascii="Calibri" w:hAnsi="Calibri"/>
        </w:rPr>
        <w:t>public website enquiries and requested outputs;</w:t>
      </w:r>
    </w:p>
    <w:p>
      <w:pPr>
        <w:pStyle w:val="ListParagraph"/>
        <w:numPr>
          <w:ilvl w:val="0"/>
          <w:numId w:val="10"/>
        </w:numPr>
      </w:pPr>
      <w:r>
        <w:rPr>
          <w:rFonts w:ascii="Calibri" w:hAnsi="Calibri"/>
        </w:rPr>
        <w:t>public Echo and Sensory Profiler working data;</w:t>
      </w:r>
    </w:p>
    <w:p>
      <w:pPr>
        <w:pStyle w:val="ListParagraph"/>
        <w:numPr>
          <w:ilvl w:val="0"/>
          <w:numId w:val="10"/>
        </w:numPr>
      </w:pPr>
      <w:r>
        <w:rPr>
          <w:rFonts w:ascii="Calibri" w:hAnsi="Calibri"/>
        </w:rPr>
        <w:t>browser storage used by public tools;</w:t>
      </w:r>
    </w:p>
    <w:p>
      <w:pPr>
        <w:pStyle w:val="ListParagraph"/>
        <w:numPr>
          <w:ilvl w:val="0"/>
          <w:numId w:val="10"/>
        </w:numPr>
      </w:pPr>
      <w:r>
        <w:rPr>
          <w:rFonts w:ascii="Calibri" w:hAnsi="Calibri"/>
        </w:rPr>
        <w:t>security, rate-limit and measurement data; and</w:t>
      </w:r>
    </w:p>
    <w:p>
      <w:pPr>
        <w:pStyle w:val="ListParagraph"/>
        <w:numPr>
          <w:ilvl w:val="0"/>
          <w:numId w:val="10"/>
        </w:numPr>
      </w:pPr>
      <w:r>
        <w:rPr>
          <w:rFonts w:ascii="Calibri" w:hAnsi="Calibri"/>
        </w:rPr>
        <w:t>supplier administration records.</w:t>
      </w:r>
    </w:p>
    <w:p>
      <w:r>
        <w:rPr>
          <w:rFonts w:ascii="Calibri" w:hAnsi="Calibri"/>
        </w:rPr>
        <w:t>The subscribing school or trust is normally the controller for pupil, parent/carer and school-staff data in the authenticated platform. It remains responsible for its statutory school-record retention and for issuing lawful instructions to Student Radar. This supplier schedule does not replace the controller's retention schedule.</w:t>
      </w:r>
    </w:p>
    <w:p>
      <w:r>
        <w:rPr>
          <w:rFonts w:ascii="Calibri" w:hAnsi="Calibri"/>
        </w:rPr>
        <w:t>An executed Data Processing Agreement or Order Form may set a more specific requirement. A shorter lawful instruction will be followed where technically and legally possible. A longer period requires a documented controller instruction, legal obligation or legal hold; data is not kept indefinitely just in case it becomes useful.</w:t>
      </w:r>
    </w:p>
    <w:p>
      <w:pPr>
        <w:pStyle w:val="Heading1"/>
        <w:pBdr>
          <w:bottom w:val="single" w:sz="8" w:space="4" w:color="5CB57A"/>
        </w:pBdr>
      </w:pPr>
      <w:r>
        <w:rPr>
          <w:rFonts w:ascii="Calibri" w:hAnsi="Calibri"/>
        </w:rPr>
        <w:t>2. Retention principles</w:t>
      </w:r>
    </w:p>
    <w:p>
      <w:r>
        <w:rPr>
          <w:rFonts w:ascii="Calibri" w:hAnsi="Calibri"/>
        </w:rPr>
        <w:t>Student Radar applies the following principles:</w:t>
      </w:r>
    </w:p>
    <w:p>
      <w:pPr>
        <w:pStyle w:val="ListParagraph"/>
        <w:numPr>
          <w:ilvl w:val="0"/>
          <w:numId w:val="10"/>
        </w:numPr>
      </w:pPr>
      <w:r>
        <w:rPr>
          <w:rFonts w:ascii="Calibri" w:hAnsi="Calibri"/>
          <w:b/>
        </w:rPr>
        <w:t>Purpose first:</w:t>
      </w:r>
      <w:r>
        <w:rPr>
          <w:rFonts w:ascii="Calibri" w:hAnsi="Calibri"/>
        </w:rPr>
        <w:t xml:space="preserve"> every period must relate to a current operational, contractual, security or legal purpose.</w:t>
      </w:r>
    </w:p>
    <w:p>
      <w:pPr>
        <w:pStyle w:val="ListParagraph"/>
        <w:numPr>
          <w:ilvl w:val="0"/>
          <w:numId w:val="10"/>
        </w:numPr>
      </w:pPr>
      <w:r>
        <w:rPr>
          <w:rFonts w:ascii="Calibri" w:hAnsi="Calibri"/>
          <w:b/>
        </w:rPr>
        <w:t>Minimum necessary:</w:t>
      </w:r>
      <w:r>
        <w:rPr>
          <w:rFonts w:ascii="Calibri" w:hAnsi="Calibri"/>
        </w:rPr>
        <w:t xml:space="preserve"> personal data is deleted or anonymised when the purpose ends unless a documented exception applies.</w:t>
      </w:r>
    </w:p>
    <w:p>
      <w:pPr>
        <w:pStyle w:val="ListParagraph"/>
        <w:numPr>
          <w:ilvl w:val="0"/>
          <w:numId w:val="10"/>
        </w:numPr>
      </w:pPr>
      <w:r>
        <w:rPr>
          <w:rFonts w:ascii="Calibri" w:hAnsi="Calibri"/>
          <w:b/>
        </w:rPr>
        <w:t>Clear trigger:</w:t>
      </w:r>
      <w:r>
        <w:rPr>
          <w:rFonts w:ascii="Calibri" w:hAnsi="Calibri"/>
        </w:rPr>
        <w:t xml:space="preserve"> periods run from a defined event, such as termination, last meaningful contact or incident closure.</w:t>
      </w:r>
    </w:p>
    <w:p>
      <w:pPr>
        <w:pStyle w:val="ListParagraph"/>
        <w:numPr>
          <w:ilvl w:val="0"/>
          <w:numId w:val="10"/>
        </w:numPr>
      </w:pPr>
      <w:r>
        <w:rPr>
          <w:rFonts w:ascii="Calibri" w:hAnsi="Calibri"/>
          <w:b/>
        </w:rPr>
        <w:t>Separation of roles:</w:t>
      </w:r>
      <w:r>
        <w:rPr>
          <w:rFonts w:ascii="Calibri" w:hAnsi="Calibri"/>
        </w:rPr>
        <w:t xml:space="preserve"> the school's statutory record period is not automatically copied into the processor's platform retention.</w:t>
      </w:r>
    </w:p>
    <w:p>
      <w:pPr>
        <w:pStyle w:val="ListParagraph"/>
        <w:numPr>
          <w:ilvl w:val="0"/>
          <w:numId w:val="10"/>
        </w:numPr>
      </w:pPr>
      <w:r>
        <w:rPr>
          <w:rFonts w:ascii="Calibri" w:hAnsi="Calibri"/>
          <w:b/>
        </w:rPr>
        <w:t>Provider transparency:</w:t>
      </w:r>
      <w:r>
        <w:rPr>
          <w:rFonts w:ascii="Calibri" w:hAnsi="Calibri"/>
        </w:rPr>
        <w:t xml:space="preserve"> provider-controlled retention is stated as such and is not presented as a Student Radar technical deletion guarantee.</w:t>
      </w:r>
    </w:p>
    <w:p>
      <w:pPr>
        <w:pStyle w:val="ListParagraph"/>
        <w:numPr>
          <w:ilvl w:val="0"/>
          <w:numId w:val="10"/>
        </w:numPr>
      </w:pPr>
      <w:r>
        <w:rPr>
          <w:rFonts w:ascii="Calibri" w:hAnsi="Calibri"/>
          <w:b/>
        </w:rPr>
        <w:t>Review rather than default extension:</w:t>
      </w:r>
      <w:r>
        <w:rPr>
          <w:rFonts w:ascii="Calibri" w:hAnsi="Calibri"/>
        </w:rPr>
        <w:t xml:space="preserve"> a record is not retained merely because the system can hold it.</w:t>
      </w:r>
    </w:p>
    <w:p>
      <w:pPr>
        <w:pStyle w:val="ListParagraph"/>
        <w:numPr>
          <w:ilvl w:val="0"/>
          <w:numId w:val="10"/>
        </w:numPr>
      </w:pPr>
      <w:r>
        <w:rPr>
          <w:rFonts w:ascii="Calibri" w:hAnsi="Calibri"/>
          <w:b/>
        </w:rPr>
        <w:t>Secure disposal:</w:t>
      </w:r>
      <w:r>
        <w:rPr>
          <w:rFonts w:ascii="Calibri" w:hAnsi="Calibri"/>
        </w:rPr>
        <w:t xml:space="preserve"> live records are removed from the relevant system; encrypted backups age out under their lifecycle; browser data can be cleared by the user.</w:t>
      </w:r>
    </w:p>
    <w:p>
      <w:pPr>
        <w:pStyle w:val="Heading1"/>
        <w:pBdr>
          <w:bottom w:val="single" w:sz="8" w:space="4" w:color="5CB57A"/>
        </w:pBdr>
      </w:pPr>
      <w:r>
        <w:rPr>
          <w:rFonts w:ascii="Calibri" w:hAnsi="Calibri"/>
        </w:rPr>
        <w:t>3. Retention schedule</w:t>
      </w:r>
    </w:p>
    <w:p>
      <w:pPr>
        <w:pStyle w:val="Heading2"/>
      </w:pPr>
      <w:r>
        <w:rPr>
          <w:rFonts w:ascii="Calibri" w:hAnsi="Calibri"/>
        </w:rPr>
        <w:t>3.1 Authenticated platform and Customer Data</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882"/>
        <w:gridCol w:w="1882"/>
        <w:gridCol w:w="1882"/>
        <w:gridCol w:w="1882"/>
        <w:gridCol w:w="1882"/>
      </w:tblGrid>
      <w:tr>
        <w:trPr>
          <w:cantSplit w:val="true"/>
          <w:tblHeader w:val="true"/>
        </w:trPr>
        <w:tc>
          <w:tcPr>
            <w:tcW w:type="dxa" w:w="1953"/>
            <w:vAlign w:val="center"/>
            <w:tcMar>
              <w:top w:w="90" w:type="dxa"/>
              <w:start w:w="110" w:type="dxa"/>
              <w:bottom w:w="90" w:type="dxa"/>
              <w:end w:w="110" w:type="dxa"/>
            </w:tcMar>
            <w:shd w:fill="E2F1E6"/>
          </w:tcPr>
          <w:p>
            <w:pPr>
              <w:spacing w:after="0" w:line="252" w:lineRule="auto"/>
            </w:pPr>
            <w:r>
              <w:rPr>
                <w:rFonts w:ascii="Calibri" w:hAnsi="Calibri"/>
                <w:b/>
                <w:color w:val="274833"/>
                <w:sz w:val="16"/>
              </w:rPr>
              <w:t>Information</w:t>
            </w:r>
          </w:p>
        </w:tc>
        <w:tc>
          <w:tcPr>
            <w:tcW w:type="dxa" w:w="1476"/>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1953"/>
            <w:vAlign w:val="center"/>
            <w:tcMar>
              <w:top w:w="90" w:type="dxa"/>
              <w:start w:w="110" w:type="dxa"/>
              <w:bottom w:w="90" w:type="dxa"/>
              <w:end w:w="110" w:type="dxa"/>
            </w:tcMar>
            <w:shd w:fill="E2F1E6"/>
          </w:tcPr>
          <w:p>
            <w:pPr>
              <w:spacing w:after="0" w:line="252" w:lineRule="auto"/>
            </w:pPr>
            <w:r>
              <w:rPr>
                <w:rFonts w:ascii="Calibri" w:hAnsi="Calibri"/>
                <w:b/>
                <w:color w:val="274833"/>
                <w:sz w:val="16"/>
              </w:rPr>
              <w:t>Standard period / trigger</w:t>
            </w:r>
          </w:p>
        </w:tc>
        <w:tc>
          <w:tcPr>
            <w:tcW w:type="dxa" w:w="1953"/>
            <w:vAlign w:val="center"/>
            <w:tcMar>
              <w:top w:w="90" w:type="dxa"/>
              <w:start w:w="110" w:type="dxa"/>
              <w:bottom w:w="90" w:type="dxa"/>
              <w:end w:w="110" w:type="dxa"/>
            </w:tcMar>
            <w:shd w:fill="E2F1E6"/>
          </w:tcPr>
          <w:p>
            <w:pPr>
              <w:spacing w:after="0" w:line="252" w:lineRule="auto"/>
            </w:pPr>
            <w:r>
              <w:rPr>
                <w:rFonts w:ascii="Calibri" w:hAnsi="Calibri"/>
                <w:b/>
                <w:color w:val="274833"/>
                <w:sz w:val="16"/>
              </w:rPr>
              <w:t>End-of-period action</w:t>
            </w:r>
          </w:p>
        </w:tc>
        <w:tc>
          <w:tcPr>
            <w:tcW w:type="dxa" w:w="1953"/>
            <w:vAlign w:val="center"/>
            <w:tcMar>
              <w:top w:w="90" w:type="dxa"/>
              <w:start w:w="110" w:type="dxa"/>
              <w:bottom w:w="90" w:type="dxa"/>
              <w:end w:w="110" w:type="dxa"/>
            </w:tcMar>
            <w:shd w:fill="E2F1E6"/>
          </w:tcPr>
          <w:p>
            <w:pPr>
              <w:spacing w:after="0" w:line="252" w:lineRule="auto"/>
            </w:pPr>
            <w:r>
              <w:rPr>
                <w:rFonts w:ascii="Calibri" w:hAnsi="Calibri"/>
                <w:b/>
                <w:color w:val="274833"/>
                <w:sz w:val="16"/>
              </w:rPr>
              <w:t>Status and qualification</w:t>
            </w:r>
          </w:p>
        </w:tc>
      </w:tr>
      <w:tr>
        <w:trPr>
          <w:cantSplit w:val="true"/>
        </w:trPr>
        <w:tc>
          <w:tcPr>
            <w:tcW w:type="dxa" w:w="1953"/>
            <w:vAlign w:val="center"/>
            <w:tcMar>
              <w:top w:w="90" w:type="dxa"/>
              <w:start w:w="110" w:type="dxa"/>
              <w:bottom w:w="90" w:type="dxa"/>
              <w:end w:w="110" w:type="dxa"/>
            </w:tcMar>
          </w:tcPr>
          <w:p>
            <w:pPr>
              <w:spacing w:after="0" w:line="252" w:lineRule="auto"/>
            </w:pPr>
            <w:r>
              <w:rPr>
                <w:rFonts w:ascii="Calibri" w:hAnsi="Calibri"/>
                <w:sz w:val="16"/>
              </w:rPr>
              <w:t>Live Customer Data, including pupil, SEND, attendance, assessment, health and safeguarding records</w:t>
            </w:r>
          </w:p>
        </w:tc>
        <w:tc>
          <w:tcPr>
            <w:tcW w:type="dxa" w:w="1476"/>
            <w:vAlign w:val="center"/>
            <w:tcMar>
              <w:top w:w="90" w:type="dxa"/>
              <w:start w:w="110" w:type="dxa"/>
              <w:bottom w:w="90" w:type="dxa"/>
              <w:end w:w="110" w:type="dxa"/>
            </w:tcMar>
          </w:tcPr>
          <w:p>
            <w:pPr>
              <w:spacing w:after="0" w:line="252" w:lineRule="auto"/>
            </w:pPr>
            <w:r>
              <w:rPr>
                <w:rFonts w:ascii="Calibri" w:hAnsi="Calibri"/>
                <w:sz w:val="16"/>
              </w:rPr>
              <w:t>Deliver the capabilities selected by the controller</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Subscription term plus up to 30 days after termination, unless the controller gives an earlier or different documented instruction or a legal hold applies</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Provide the agreed export opportunity, then delete from live systems</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Current public and contractual position. The school must retain any authoritative or statutory records it still requires.</w:t>
            </w:r>
          </w:p>
        </w:tc>
      </w:tr>
      <w:tr>
        <w:trPr>
          <w:cantSplit w:val="true"/>
        </w:trPr>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Parent/carer and school-staff Customer Data</w:t>
            </w:r>
          </w:p>
        </w:tc>
        <w:tc>
          <w:tcPr>
            <w:tcW w:type="dxa" w:w="1476"/>
            <w:vAlign w:val="center"/>
            <w:tcMar>
              <w:top w:w="90" w:type="dxa"/>
              <w:start w:w="110" w:type="dxa"/>
              <w:bottom w:w="90" w:type="dxa"/>
              <w:end w:w="110" w:type="dxa"/>
            </w:tcMar>
            <w:shd w:fill="F7FAF8"/>
          </w:tcPr>
          <w:p>
            <w:pPr>
              <w:spacing w:after="0" w:line="252" w:lineRule="auto"/>
            </w:pPr>
            <w:r>
              <w:rPr>
                <w:rFonts w:ascii="Calibri" w:hAnsi="Calibri"/>
                <w:sz w:val="16"/>
              </w:rPr>
              <w:t>Communications, authorised access and selected platform workflows</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Subscription term plus up to 30 days after termination, subject to controller instructions</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Delete from live systems</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Covered by Customer Data offboarding rather than a separate, indefinite period.</w:t>
            </w:r>
          </w:p>
        </w:tc>
      </w:tr>
      <w:tr>
        <w:trPr>
          <w:cantSplit w:val="true"/>
        </w:trPr>
        <w:tc>
          <w:tcPr>
            <w:tcW w:type="dxa" w:w="1953"/>
            <w:vAlign w:val="center"/>
            <w:tcMar>
              <w:top w:w="90" w:type="dxa"/>
              <w:start w:w="110" w:type="dxa"/>
              <w:bottom w:w="90" w:type="dxa"/>
              <w:end w:w="110" w:type="dxa"/>
            </w:tcMar>
          </w:tcPr>
          <w:p>
            <w:pPr>
              <w:spacing w:after="0" w:line="252" w:lineRule="auto"/>
            </w:pPr>
            <w:r>
              <w:rPr>
                <w:rFonts w:ascii="Calibri" w:hAnsi="Calibri"/>
                <w:sz w:val="16"/>
              </w:rPr>
              <w:t>Authentication and access records tied to an active school account</w:t>
            </w:r>
          </w:p>
        </w:tc>
        <w:tc>
          <w:tcPr>
            <w:tcW w:type="dxa" w:w="1476"/>
            <w:vAlign w:val="center"/>
            <w:tcMar>
              <w:top w:w="90" w:type="dxa"/>
              <w:start w:w="110" w:type="dxa"/>
              <w:bottom w:w="90" w:type="dxa"/>
              <w:end w:w="110" w:type="dxa"/>
            </w:tcMar>
          </w:tcPr>
          <w:p>
            <w:pPr>
              <w:spacing w:after="0" w:line="252" w:lineRule="auto"/>
            </w:pPr>
            <w:r>
              <w:rPr>
                <w:rFonts w:ascii="Calibri" w:hAnsi="Calibri"/>
                <w:sz w:val="16"/>
              </w:rPr>
              <w:t>Secure access, account administration and incident investigation</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Active account; account data is included in Customer Data offboarding. Security events retained under the audit schedule below where necessary</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Disable access promptly; delete account data on offboarding; retain only the necessary security record</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School must notify Student Radar of leavers and access changes.</w:t>
            </w:r>
          </w:p>
        </w:tc>
      </w:tr>
      <w:tr>
        <w:trPr>
          <w:cantSplit w:val="true"/>
        </w:trPr>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Platform audit events</w:t>
            </w:r>
          </w:p>
        </w:tc>
        <w:tc>
          <w:tcPr>
            <w:tcW w:type="dxa" w:w="1476"/>
            <w:vAlign w:val="center"/>
            <w:tcMar>
              <w:top w:w="90" w:type="dxa"/>
              <w:start w:w="110" w:type="dxa"/>
              <w:bottom w:w="90" w:type="dxa"/>
              <w:end w:w="110" w:type="dxa"/>
            </w:tcMar>
            <w:shd w:fill="F7FAF8"/>
          </w:tcPr>
          <w:p>
            <w:pPr>
              <w:spacing w:after="0" w:line="252" w:lineRule="auto"/>
            </w:pPr>
            <w:r>
              <w:rPr>
                <w:rFonts w:ascii="Calibri" w:hAnsi="Calibri"/>
                <w:sz w:val="16"/>
              </w:rPr>
              <w:t>Accountability, investigation and support for controller obligations</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13 months from the event; longer only for a documented incident, dispute, legal obligation or hold</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Delete or irreversibly aggregate; record any exception</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Current policy period. Applied through scheduled or manual lifecycle review; exceptions are recorded.</w:t>
            </w:r>
          </w:p>
        </w:tc>
      </w:tr>
      <w:tr>
        <w:trPr>
          <w:cantSplit w:val="true"/>
        </w:trPr>
        <w:tc>
          <w:tcPr>
            <w:tcW w:type="dxa" w:w="1953"/>
            <w:vAlign w:val="center"/>
            <w:tcMar>
              <w:top w:w="90" w:type="dxa"/>
              <w:start w:w="110" w:type="dxa"/>
              <w:bottom w:w="90" w:type="dxa"/>
              <w:end w:w="110" w:type="dxa"/>
            </w:tcMar>
          </w:tcPr>
          <w:p>
            <w:pPr>
              <w:spacing w:after="0" w:line="252" w:lineRule="auto"/>
            </w:pPr>
            <w:r>
              <w:rPr>
                <w:rFonts w:ascii="Calibri" w:hAnsi="Calibri"/>
                <w:sz w:val="16"/>
              </w:rPr>
              <w:t>Database backups containing Customer Data</w:t>
            </w:r>
          </w:p>
        </w:tc>
        <w:tc>
          <w:tcPr>
            <w:tcW w:type="dxa" w:w="1476"/>
            <w:vAlign w:val="center"/>
            <w:tcMar>
              <w:top w:w="90" w:type="dxa"/>
              <w:start w:w="110" w:type="dxa"/>
              <w:bottom w:w="90" w:type="dxa"/>
              <w:end w:w="110" w:type="dxa"/>
            </w:tcMar>
          </w:tcPr>
          <w:p>
            <w:pPr>
              <w:spacing w:after="0" w:line="252" w:lineRule="auto"/>
            </w:pPr>
            <w:r>
              <w:rPr>
                <w:rFonts w:ascii="Calibri" w:hAnsi="Calibri"/>
                <w:sz w:val="16"/>
              </w:rPr>
              <w:t>Disaster recovery</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Rolling provider lifecycle; up to 90 days after termination for data to age out</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Automatic expiry under the backup lifecycle</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Backups are not a separate archive. If a backup is restored, applicable deletion instructions must be reapplied.</w:t>
            </w:r>
          </w:p>
        </w:tc>
      </w:tr>
      <w:tr>
        <w:trPr>
          <w:cantSplit w:val="true"/>
        </w:trPr>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Wonde connection credentials and mappings</w:t>
            </w:r>
          </w:p>
        </w:tc>
        <w:tc>
          <w:tcPr>
            <w:tcW w:type="dxa" w:w="1476"/>
            <w:vAlign w:val="center"/>
            <w:tcMar>
              <w:top w:w="90" w:type="dxa"/>
              <w:start w:w="110" w:type="dxa"/>
              <w:bottom w:w="90" w:type="dxa"/>
              <w:end w:w="110" w:type="dxa"/>
            </w:tcMar>
            <w:shd w:fill="F7FAF8"/>
          </w:tcPr>
          <w:p>
            <w:pPr>
              <w:spacing w:after="0" w:line="252" w:lineRule="auto"/>
            </w:pPr>
            <w:r>
              <w:rPr>
                <w:rFonts w:ascii="Calibri" w:hAnsi="Calibri"/>
                <w:sz w:val="16"/>
              </w:rPr>
              <w:t>Operate the authorised MIS connection</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While the connection and customer service are active</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Revoke/disconnect and delete in accordance with the integration offboarding process</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No claim is made that Wonde retains nothing beyond its own contract and logs; see the current Sub-Processor List and provider terms.</w:t>
            </w:r>
          </w:p>
        </w:tc>
      </w:tr>
    </w:tbl>
    <w:p>
      <w:pPr>
        <w:spacing w:after="0"/>
      </w:pPr>
    </w:p>
    <w:p>
      <w:r>
        <w:rPr>
          <w:rFonts w:ascii="Calibri" w:hAnsi="Calibri"/>
        </w:rPr>
        <w:t>The school is responsible for deciding how long it must retain SEND, safeguarding, attendance, assessment and other education records in its authoritative systems. Ending the Student Radar subscription does not remove that responsibility.</w:t>
      </w:r>
    </w:p>
    <w:p>
      <w:pPr>
        <w:pStyle w:val="Heading2"/>
      </w:pPr>
      <w:r>
        <w:rPr>
          <w:rFonts w:ascii="Calibri" w:hAnsi="Calibri"/>
        </w:rPr>
        <w:t>3.2 Public enquiries and requested outputs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1882"/>
        <w:gridCol w:w="1882"/>
        <w:gridCol w:w="1882"/>
        <w:gridCol w:w="1882"/>
        <w:gridCol w:w="1882"/>
      </w:tblGrid>
      <w:tr>
        <w:trPr>
          <w:cantSplit w:val="true"/>
          <w:tblHeader w:val="true"/>
        </w:trPr>
        <w:tc>
          <w:tcPr>
            <w:tcW w:type="dxa" w:w="1202"/>
            <w:vAlign w:val="center"/>
            <w:tcMar>
              <w:top w:w="90" w:type="dxa"/>
              <w:start w:w="110" w:type="dxa"/>
              <w:bottom w:w="90" w:type="dxa"/>
              <w:end w:w="110" w:type="dxa"/>
            </w:tcMar>
            <w:shd w:fill="E2F1E6"/>
          </w:tcPr>
          <w:p>
            <w:pPr>
              <w:spacing w:after="0" w:line="252" w:lineRule="auto"/>
            </w:pPr>
            <w:r>
              <w:rPr>
                <w:rFonts w:ascii="Calibri" w:hAnsi="Calibri"/>
                <w:b/>
                <w:color w:val="274833"/>
                <w:sz w:val="16"/>
              </w:rPr>
              <w:t>Information</w:t>
            </w:r>
          </w:p>
        </w:tc>
        <w:tc>
          <w:tcPr>
            <w:tcW w:type="dxa" w:w="1953"/>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2044"/>
            <w:vAlign w:val="center"/>
            <w:tcMar>
              <w:top w:w="90" w:type="dxa"/>
              <w:start w:w="110" w:type="dxa"/>
              <w:bottom w:w="90" w:type="dxa"/>
              <w:end w:w="110" w:type="dxa"/>
            </w:tcMar>
            <w:shd w:fill="E2F1E6"/>
          </w:tcPr>
          <w:p>
            <w:pPr>
              <w:spacing w:after="0" w:line="252" w:lineRule="auto"/>
            </w:pPr>
            <w:r>
              <w:rPr>
                <w:rFonts w:ascii="Calibri" w:hAnsi="Calibri"/>
                <w:b/>
                <w:color w:val="274833"/>
                <w:sz w:val="16"/>
              </w:rPr>
              <w:t>Standard period / trigger</w:t>
            </w:r>
          </w:p>
        </w:tc>
        <w:tc>
          <w:tcPr>
            <w:tcW w:type="dxa" w:w="2044"/>
            <w:vAlign w:val="center"/>
            <w:tcMar>
              <w:top w:w="90" w:type="dxa"/>
              <w:start w:w="110" w:type="dxa"/>
              <w:bottom w:w="90" w:type="dxa"/>
              <w:end w:w="110" w:type="dxa"/>
            </w:tcMar>
            <w:shd w:fill="E2F1E6"/>
          </w:tcPr>
          <w:p>
            <w:pPr>
              <w:spacing w:after="0" w:line="252" w:lineRule="auto"/>
            </w:pPr>
            <w:r>
              <w:rPr>
                <w:rFonts w:ascii="Calibri" w:hAnsi="Calibri"/>
                <w:b/>
                <w:color w:val="274833"/>
                <w:sz w:val="16"/>
              </w:rPr>
              <w:t>End-of-period action</w:t>
            </w:r>
          </w:p>
        </w:tc>
        <w:tc>
          <w:tcPr>
            <w:tcW w:type="dxa" w:w="2044"/>
            <w:vAlign w:val="center"/>
            <w:tcMar>
              <w:top w:w="90" w:type="dxa"/>
              <w:start w:w="110" w:type="dxa"/>
              <w:bottom w:w="90" w:type="dxa"/>
              <w:end w:w="110" w:type="dxa"/>
            </w:tcMar>
            <w:shd w:fill="E2F1E6"/>
          </w:tcPr>
          <w:p>
            <w:pPr>
              <w:spacing w:after="0" w:line="252" w:lineRule="auto"/>
            </w:pPr>
            <w:r>
              <w:rPr>
                <w:rFonts w:ascii="Calibri" w:hAnsi="Calibri"/>
                <w:b/>
                <w:color w:val="274833"/>
                <w:sz w:val="16"/>
              </w:rPr>
              <w:t>Status and qualification</w:t>
            </w:r>
          </w:p>
        </w:tc>
      </w:tr>
      <w:tr>
        <w:trPr>
          <w:cantSplit w:val="true"/>
        </w:trPr>
        <w:tc>
          <w:tcPr>
            <w:tcW w:type="dxa" w:w="1202"/>
            <w:vAlign w:val="center"/>
            <w:tcMar>
              <w:top w:w="90" w:type="dxa"/>
              <w:start w:w="110" w:type="dxa"/>
              <w:bottom w:w="90" w:type="dxa"/>
              <w:end w:w="110" w:type="dxa"/>
            </w:tcMar>
          </w:tcPr>
          <w:p>
            <w:pPr>
              <w:spacing w:after="0" w:line="252" w:lineRule="auto"/>
            </w:pPr>
            <w:r>
              <w:rPr>
                <w:rFonts w:ascii="Calibri" w:hAnsi="Calibri"/>
                <w:sz w:val="16"/>
              </w:rPr>
              <w:t>Demo and contact enquiries</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Respond to the request, arrange a walkthrough and document the commercial conversation</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Review 12 months after the last meaningful contact if no customer relationship begins</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Delete, or record a specific current reason and new review date</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Current policy period. Supplying an enquiry is not consent to unrelated marketing. Manual review applies where no automated lifecycle is available.</w:t>
            </w:r>
          </w:p>
        </w:tc>
      </w:tr>
      <w:tr>
        <w:trPr>
          <w:cantSplit w:val="true"/>
        </w:trPr>
        <w:tc>
          <w:tcPr>
            <w:tcW w:type="dxa" w:w="1202"/>
            <w:vAlign w:val="center"/>
            <w:tcMar>
              <w:top w:w="90" w:type="dxa"/>
              <w:start w:w="110" w:type="dxa"/>
              <w:bottom w:w="90" w:type="dxa"/>
              <w:end w:w="110" w:type="dxa"/>
            </w:tcMar>
            <w:shd w:fill="F7FAF8"/>
          </w:tcPr>
          <w:p>
            <w:pPr>
              <w:spacing w:after="0" w:line="252" w:lineRule="auto"/>
            </w:pPr>
            <w:r>
              <w:rPr>
                <w:rFonts w:ascii="Calibri" w:hAnsi="Calibri"/>
                <w:sz w:val="16"/>
              </w:rPr>
              <w:t>Pathfinder applications</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Assess and administer the funded programme and communicate the outcome</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Unsuccessful/inactive application: review 12 months after the programme decision or last meaningful contact. Successful application: move necessary records into the customer/contract record</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Delete unnecessary application detail; retain contractual records under the contract schedule</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Priorities/free-text must not contain pupil or safeguarding case details.</w:t>
            </w:r>
          </w:p>
        </w:tc>
      </w:tr>
      <w:tr>
        <w:trPr>
          <w:cantSplit w:val="true"/>
        </w:trPr>
        <w:tc>
          <w:tcPr>
            <w:tcW w:type="dxa" w:w="1202"/>
            <w:vAlign w:val="center"/>
            <w:tcMar>
              <w:top w:w="90" w:type="dxa"/>
              <w:start w:w="110" w:type="dxa"/>
              <w:bottom w:w="90" w:type="dxa"/>
              <w:end w:w="110" w:type="dxa"/>
            </w:tcMar>
          </w:tcPr>
          <w:p>
            <w:pPr>
              <w:spacing w:after="0" w:line="252" w:lineRule="auto"/>
            </w:pPr>
            <w:r>
              <w:rPr>
                <w:rFonts w:ascii="Calibri" w:hAnsi="Calibri"/>
                <w:sz w:val="16"/>
              </w:rPr>
              <w:t>Sensory Profiler PDF access email and optional role</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Unlock and support the requested PDF</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Review 12 months after capture if no customer relationship or continuing support need exists</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Delete from the enquiry store</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The sensory selections and generated profile are not stored with the enquiry. The email is not stored in the browser; only a session boolean is kept.</w:t>
            </w:r>
          </w:p>
        </w:tc>
      </w:tr>
      <w:tr>
        <w:trPr>
          <w:cantSplit w:val="true"/>
        </w:trPr>
        <w:tc>
          <w:tcPr>
            <w:tcW w:type="dxa" w:w="1202"/>
            <w:vAlign w:val="center"/>
            <w:tcMar>
              <w:top w:w="90" w:type="dxa"/>
              <w:start w:w="110" w:type="dxa"/>
              <w:bottom w:w="90" w:type="dxa"/>
              <w:end w:w="110" w:type="dxa"/>
            </w:tcMar>
            <w:shd w:fill="F7FAF8"/>
          </w:tcPr>
          <w:p>
            <w:pPr>
              <w:spacing w:after="0" w:line="252" w:lineRule="auto"/>
            </w:pPr>
            <w:r>
              <w:rPr>
                <w:rFonts w:ascii="Calibri" w:hAnsi="Calibri"/>
                <w:sz w:val="16"/>
              </w:rPr>
              <w:t>Inclusion-funding estimate request</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Deliver the requested estimate and support the enquiry</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Review 12 months after the last meaningful contact if no customer relationship begins</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Delete contact/enquiry record; provider delivery metadata follows provider terms</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School and local-authority context is business information; the form must not contain pupil data.</w:t>
            </w:r>
          </w:p>
        </w:tc>
      </w:tr>
      <w:tr>
        <w:trPr>
          <w:cantSplit w:val="true"/>
        </w:trPr>
        <w:tc>
          <w:tcPr>
            <w:tcW w:type="dxa" w:w="1202"/>
            <w:vAlign w:val="center"/>
            <w:tcMar>
              <w:top w:w="90" w:type="dxa"/>
              <w:start w:w="110" w:type="dxa"/>
              <w:bottom w:w="90" w:type="dxa"/>
              <w:end w:w="110" w:type="dxa"/>
            </w:tcMar>
          </w:tcPr>
          <w:p>
            <w:pPr>
              <w:spacing w:after="0" w:line="252" w:lineRule="auto"/>
            </w:pPr>
            <w:r>
              <w:rPr>
                <w:rFonts w:ascii="Calibri" w:hAnsi="Calibri"/>
                <w:sz w:val="16"/>
              </w:rPr>
              <w:t>Compare business-case PDF request</w:t>
            </w:r>
          </w:p>
        </w:tc>
        <w:tc>
          <w:tcPr>
            <w:tcW w:type="dxa" w:w="1953"/>
            <w:vAlign w:val="center"/>
            <w:tcMar>
              <w:top w:w="90" w:type="dxa"/>
              <w:start w:w="110" w:type="dxa"/>
              <w:bottom w:w="90" w:type="dxa"/>
              <w:end w:w="110" w:type="dxa"/>
            </w:tcMar>
          </w:tcPr>
          <w:p>
            <w:pPr>
              <w:spacing w:after="0" w:line="252" w:lineRule="auto"/>
            </w:pPr>
            <w:r>
              <w:rPr>
                <w:rFonts w:ascii="Calibri" w:hAnsi="Calibri"/>
                <w:sz w:val="16"/>
              </w:rPr>
              <w:t>Render the visitor's requested PDF</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Request lifecycle only</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 xml:space="preserve">Discard after response; response uses </w:t>
            </w:r>
            <w:r>
              <w:rPr>
                <w:rFonts w:ascii="Aptos Mono" w:hAnsi="Aptos Mono"/>
                <w:color w:val="274833"/>
                <w:sz w:val="15"/>
              </w:rPr>
              <w:t>Cache-Control: no-store</w:t>
            </w:r>
          </w:p>
        </w:tc>
        <w:tc>
          <w:tcPr>
            <w:tcW w:type="dxa" w:w="2044"/>
            <w:vAlign w:val="center"/>
            <w:tcMar>
              <w:top w:w="90" w:type="dxa"/>
              <w:start w:w="110" w:type="dxa"/>
              <w:bottom w:w="90" w:type="dxa"/>
              <w:end w:w="110" w:type="dxa"/>
            </w:tcMar>
          </w:tcPr>
          <w:p>
            <w:pPr>
              <w:spacing w:after="0" w:line="252" w:lineRule="auto"/>
            </w:pPr>
            <w:r>
              <w:rPr>
                <w:rFonts w:ascii="Calibri" w:hAnsi="Calibri"/>
                <w:sz w:val="16"/>
              </w:rPr>
              <w:t>The route does not persist the request body. School name, roll, setting and decision note are not placed in the shareable URL or analytics.</w:t>
            </w:r>
          </w:p>
        </w:tc>
      </w:tr>
      <w:tr>
        <w:trPr>
          <w:cantSplit w:val="true"/>
        </w:trPr>
        <w:tc>
          <w:tcPr>
            <w:tcW w:type="dxa" w:w="1202"/>
            <w:vAlign w:val="center"/>
            <w:tcMar>
              <w:top w:w="90" w:type="dxa"/>
              <w:start w:w="110" w:type="dxa"/>
              <w:bottom w:w="90" w:type="dxa"/>
              <w:end w:w="110" w:type="dxa"/>
            </w:tcMar>
            <w:shd w:fill="F7FAF8"/>
          </w:tcPr>
          <w:p>
            <w:pPr>
              <w:spacing w:after="0" w:line="252" w:lineRule="auto"/>
            </w:pPr>
            <w:r>
              <w:rPr>
                <w:rFonts w:ascii="Calibri" w:hAnsi="Calibri"/>
                <w:sz w:val="16"/>
              </w:rPr>
              <w:t>School-directory lookup query</w:t>
            </w:r>
          </w:p>
        </w:tc>
        <w:tc>
          <w:tcPr>
            <w:tcW w:type="dxa" w:w="1953"/>
            <w:vAlign w:val="center"/>
            <w:tcMar>
              <w:top w:w="90" w:type="dxa"/>
              <w:start w:w="110" w:type="dxa"/>
              <w:bottom w:w="90" w:type="dxa"/>
              <w:end w:w="110" w:type="dxa"/>
            </w:tcMar>
            <w:shd w:fill="F7FAF8"/>
          </w:tcPr>
          <w:p>
            <w:pPr>
              <w:spacing w:after="0" w:line="252" w:lineRule="auto"/>
            </w:pPr>
            <w:r>
              <w:rPr>
                <w:rFonts w:ascii="Calibri" w:hAnsi="Calibri"/>
                <w:sz w:val="16"/>
              </w:rPr>
              <w:t>Return public GIAS school matches</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Request lifecycle only in the Student Radar route</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 xml:space="preserve">No application record created; response uses </w:t>
            </w:r>
            <w:r>
              <w:rPr>
                <w:rFonts w:ascii="Aptos Mono" w:hAnsi="Aptos Mono"/>
                <w:color w:val="274833"/>
                <w:sz w:val="15"/>
              </w:rPr>
              <w:t>Cache-Control: no-store</w:t>
            </w:r>
          </w:p>
        </w:tc>
        <w:tc>
          <w:tcPr>
            <w:tcW w:type="dxa" w:w="2044"/>
            <w:vAlign w:val="center"/>
            <w:tcMar>
              <w:top w:w="90" w:type="dxa"/>
              <w:start w:w="110" w:type="dxa"/>
              <w:bottom w:w="90" w:type="dxa"/>
              <w:end w:w="110" w:type="dxa"/>
            </w:tcMar>
            <w:shd w:fill="F7FAF8"/>
          </w:tcPr>
          <w:p>
            <w:pPr>
              <w:spacing w:after="0" w:line="252" w:lineRule="auto"/>
            </w:pPr>
            <w:r>
              <w:rPr>
                <w:rFonts w:ascii="Calibri" w:hAnsi="Calibri"/>
                <w:sz w:val="16"/>
              </w:rPr>
              <w:t>Hosting and database providers may still create bounded technical/security logs under their controls.</w:t>
            </w:r>
          </w:p>
        </w:tc>
      </w:tr>
    </w:tbl>
    <w:p>
      <w:pPr>
        <w:spacing w:after="0"/>
      </w:pPr>
    </w:p>
    <w:p>
      <w:pPr>
        <w:pStyle w:val="Heading2"/>
      </w:pPr>
      <w:r>
        <w:rPr>
          <w:rFonts w:ascii="Calibri" w:hAnsi="Calibri"/>
        </w:rPr>
        <w:t>3.3 Public Echo</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2244"/>
            <w:vAlign w:val="center"/>
            <w:tcMar>
              <w:top w:w="90" w:type="dxa"/>
              <w:start w:w="110" w:type="dxa"/>
              <w:bottom w:w="90" w:type="dxa"/>
              <w:end w:w="110" w:type="dxa"/>
            </w:tcMar>
            <w:shd w:fill="E2F1E6"/>
          </w:tcPr>
          <w:p>
            <w:pPr>
              <w:spacing w:after="0" w:line="252" w:lineRule="auto"/>
            </w:pPr>
            <w:r>
              <w:rPr>
                <w:rFonts w:ascii="Calibri" w:hAnsi="Calibri"/>
                <w:b/>
                <w:color w:val="274833"/>
                <w:sz w:val="16"/>
              </w:rPr>
              <w:t>Information / storage</w:t>
            </w:r>
          </w:p>
        </w:tc>
        <w:tc>
          <w:tcPr>
            <w:tcW w:type="dxa" w:w="2348"/>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2348"/>
            <w:vAlign w:val="center"/>
            <w:tcMar>
              <w:top w:w="90" w:type="dxa"/>
              <w:start w:w="110" w:type="dxa"/>
              <w:bottom w:w="90" w:type="dxa"/>
              <w:end w:w="110" w:type="dxa"/>
            </w:tcMar>
            <w:shd w:fill="E2F1E6"/>
          </w:tcPr>
          <w:p>
            <w:pPr>
              <w:spacing w:after="0" w:line="252" w:lineRule="auto"/>
            </w:pPr>
            <w:r>
              <w:rPr>
                <w:rFonts w:ascii="Calibri" w:hAnsi="Calibri"/>
                <w:b/>
                <w:color w:val="274833"/>
                <w:sz w:val="16"/>
              </w:rPr>
              <w:t>Period</w:t>
            </w:r>
          </w:p>
        </w:tc>
        <w:tc>
          <w:tcPr>
            <w:tcW w:type="dxa" w:w="2348"/>
            <w:vAlign w:val="center"/>
            <w:tcMar>
              <w:top w:w="90" w:type="dxa"/>
              <w:start w:w="110" w:type="dxa"/>
              <w:bottom w:w="90" w:type="dxa"/>
              <w:end w:w="110" w:type="dxa"/>
            </w:tcMar>
            <w:shd w:fill="E2F1E6"/>
          </w:tcPr>
          <w:p>
            <w:pPr>
              <w:spacing w:after="0" w:line="252" w:lineRule="auto"/>
            </w:pPr>
            <w:r>
              <w:rPr>
                <w:rFonts w:ascii="Calibri" w:hAnsi="Calibri"/>
                <w:b/>
                <w:color w:val="274833"/>
                <w:sz w:val="16"/>
              </w:rPr>
              <w:t>End-of-period action</w:t>
            </w:r>
          </w:p>
        </w:tc>
      </w:tr>
      <w:tr>
        <w:trPr>
          <w:cantSplit w:val="true"/>
        </w:trPr>
        <w:tc>
          <w:tcPr>
            <w:tcW w:type="dxa" w:w="2244"/>
            <w:vAlign w:val="center"/>
            <w:tcMar>
              <w:top w:w="90" w:type="dxa"/>
              <w:start w:w="110" w:type="dxa"/>
              <w:bottom w:w="90" w:type="dxa"/>
              <w:end w:w="110" w:type="dxa"/>
            </w:tcMar>
          </w:tcPr>
          <w:p>
            <w:pPr>
              <w:spacing w:after="0" w:line="252" w:lineRule="auto"/>
            </w:pPr>
            <w:r>
              <w:rPr>
                <w:rFonts w:ascii="Calibri" w:hAnsi="Calibri"/>
                <w:sz w:val="16"/>
              </w:rPr>
              <w:t>Tapped phrase and ordered button labels/vocalisations sent to Student Radar and OpenAI</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Interpret the visitor's request</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Request lifecycle; Student Radar may cache the generated text and audio in volatile process memory for up to 10 minutes</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Cache entry expires or disappears earlier when the process restarts; no database write by this route</w:t>
            </w:r>
          </w:p>
        </w:tc>
      </w:tr>
      <w:tr>
        <w:trPr>
          <w:cantSplit w:val="true"/>
        </w:trPr>
        <w:tc>
          <w:tcPr>
            <w:tcW w:type="dxa" w:w="2244"/>
            <w:vAlign w:val="center"/>
            <w:tcMar>
              <w:top w:w="90" w:type="dxa"/>
              <w:start w:w="110" w:type="dxa"/>
              <w:bottom w:w="90" w:type="dxa"/>
              <w:end w:w="110" w:type="dxa"/>
            </w:tcMar>
            <w:shd w:fill="F7FAF8"/>
          </w:tcPr>
          <w:p>
            <w:pPr>
              <w:spacing w:after="0" w:line="252" w:lineRule="auto"/>
            </w:pPr>
            <w:r>
              <w:rPr>
                <w:rFonts w:ascii="Calibri" w:hAnsi="Calibri"/>
                <w:sz w:val="16"/>
              </w:rPr>
              <w:t>Generated short utterance sent to OpenAI audio speech</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Produce speech requested by the visitor</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Provider request lifecycle; default provider abuse-monitoring logs may be retained for up to 30 days</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Provider expiry under its API controls</w:t>
            </w:r>
          </w:p>
        </w:tc>
      </w:tr>
      <w:tr>
        <w:trPr>
          <w:cantSplit w:val="true"/>
        </w:trPr>
        <w:tc>
          <w:tcPr>
            <w:tcW w:type="dxa" w:w="2244"/>
            <w:vAlign w:val="center"/>
            <w:tcMar>
              <w:top w:w="90" w:type="dxa"/>
              <w:start w:w="110" w:type="dxa"/>
              <w:bottom w:w="90" w:type="dxa"/>
              <w:end w:w="110" w:type="dxa"/>
            </w:tcMar>
          </w:tcPr>
          <w:p>
            <w:pPr>
              <w:spacing w:after="0" w:line="252" w:lineRule="auto"/>
            </w:pPr>
            <w:r>
              <w:rPr>
                <w:rFonts w:ascii="Calibri" w:hAnsi="Calibri"/>
                <w:sz w:val="16"/>
              </w:rPr>
              <w:t>OpenAI Responses application state</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Generate the interpretation</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 xml:space="preserve">The request sends </w:t>
            </w:r>
            <w:r>
              <w:rPr>
                <w:rFonts w:ascii="Aptos Mono" w:hAnsi="Aptos Mono"/>
                <w:color w:val="274833"/>
                <w:sz w:val="15"/>
              </w:rPr>
              <w:t>store:false</w:t>
            </w:r>
            <w:r>
              <w:rPr>
                <w:rFonts w:ascii="Calibri" w:hAnsi="Calibri"/>
                <w:sz w:val="16"/>
              </w:rPr>
              <w:t>, so Responses application-state storage is not requested</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No blanket ZDR claim: default abuse-monitoring retention may still be up to 30 days</w:t>
            </w:r>
          </w:p>
        </w:tc>
      </w:tr>
      <w:tr>
        <w:trPr>
          <w:cantSplit w:val="true"/>
        </w:trPr>
        <w:tc>
          <w:tcPr>
            <w:tcW w:type="dxa" w:w="2244"/>
            <w:vAlign w:val="center"/>
            <w:tcMar>
              <w:top w:w="90" w:type="dxa"/>
              <w:start w:w="110" w:type="dxa"/>
              <w:bottom w:w="90" w:type="dxa"/>
              <w:end w:w="110" w:type="dxa"/>
            </w:tcMar>
            <w:shd w:fill="F7FAF8"/>
          </w:tcPr>
          <w:p>
            <w:pPr>
              <w:spacing w:after="0" w:line="252" w:lineRule="auto"/>
            </w:pPr>
            <w:r>
              <w:rPr>
                <w:rFonts w:ascii="Calibri" w:hAnsi="Calibri"/>
                <w:sz w:val="16"/>
              </w:rPr>
              <w:t xml:space="preserve">Echo </w:t>
            </w:r>
            <w:r>
              <w:rPr>
                <w:rFonts w:ascii="Aptos Mono" w:hAnsi="Aptos Mono"/>
                <w:color w:val="274833"/>
                <w:sz w:val="15"/>
              </w:rPr>
              <w:t>localStorage</w:t>
            </w:r>
            <w:r>
              <w:rPr>
                <w:rFonts w:ascii="Calibri" w:hAnsi="Calibri"/>
                <w:sz w:val="16"/>
              </w:rPr>
              <w:t xml:space="preserve"> preferences and acknowledgement</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Remember language/display choices, default board version, optional shared context and that the AI notice has been seen</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Until the user clears site data, a relevant app update replaces it, or the browser removes it</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Cleared through browser/site settings</w:t>
            </w:r>
          </w:p>
        </w:tc>
      </w:tr>
      <w:tr>
        <w:trPr>
          <w:cantSplit w:val="true"/>
        </w:trPr>
        <w:tc>
          <w:tcPr>
            <w:tcW w:type="dxa" w:w="2244"/>
            <w:vAlign w:val="center"/>
            <w:tcMar>
              <w:top w:w="90" w:type="dxa"/>
              <w:start w:w="110" w:type="dxa"/>
              <w:bottom w:w="90" w:type="dxa"/>
              <w:end w:w="110" w:type="dxa"/>
            </w:tcMar>
          </w:tcPr>
          <w:p>
            <w:pPr>
              <w:spacing w:after="0" w:line="252" w:lineRule="auto"/>
            </w:pPr>
            <w:r>
              <w:rPr>
                <w:rFonts w:ascii="Calibri" w:hAnsi="Calibri"/>
                <w:sz w:val="16"/>
              </w:rPr>
              <w:t>Echo IndexedDB (</w:t>
            </w:r>
            <w:r>
              <w:rPr>
                <w:rFonts w:ascii="Aptos Mono" w:hAnsi="Aptos Mono"/>
                <w:color w:val="274833"/>
                <w:sz w:val="15"/>
              </w:rPr>
              <w:t>aac-board-db</w:t>
            </w:r>
            <w:r>
              <w:rPr>
                <w:rFonts w:ascii="Calibri" w:hAnsi="Calibri"/>
                <w:sz w:val="16"/>
              </w:rPr>
              <w:t>)</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Store board sets, boards and assets for the requested AAC and offline functionality</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Until the user removes a board or clears site data</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Deleted by the app action or browser/site-data controls</w:t>
            </w:r>
          </w:p>
        </w:tc>
      </w:tr>
      <w:tr>
        <w:trPr>
          <w:cantSplit w:val="true"/>
        </w:trPr>
        <w:tc>
          <w:tcPr>
            <w:tcW w:type="dxa" w:w="2244"/>
            <w:vAlign w:val="center"/>
            <w:tcMar>
              <w:top w:w="90" w:type="dxa"/>
              <w:start w:w="110" w:type="dxa"/>
              <w:bottom w:w="90" w:type="dxa"/>
              <w:end w:w="110" w:type="dxa"/>
            </w:tcMar>
            <w:shd w:fill="F7FAF8"/>
          </w:tcPr>
          <w:p>
            <w:pPr>
              <w:spacing w:after="0" w:line="252" w:lineRule="auto"/>
            </w:pPr>
            <w:r>
              <w:rPr>
                <w:rFonts w:ascii="Calibri" w:hAnsi="Calibri"/>
                <w:sz w:val="16"/>
              </w:rPr>
              <w:t>Echo Cache Storage and service worker</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Cache application assets for offline/fast operation</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Until replaced by an app/service-worker update or cleared by the user/browser</w:t>
            </w:r>
          </w:p>
        </w:tc>
        <w:tc>
          <w:tcPr>
            <w:tcW w:type="dxa" w:w="2348"/>
            <w:vAlign w:val="center"/>
            <w:tcMar>
              <w:top w:w="90" w:type="dxa"/>
              <w:start w:w="110" w:type="dxa"/>
              <w:bottom w:w="90" w:type="dxa"/>
              <w:end w:w="110" w:type="dxa"/>
            </w:tcMar>
            <w:shd w:fill="F7FAF8"/>
          </w:tcPr>
          <w:p>
            <w:pPr>
              <w:spacing w:after="0" w:line="252" w:lineRule="auto"/>
            </w:pPr>
            <w:r>
              <w:rPr>
                <w:rFonts w:ascii="Calibri" w:hAnsi="Calibri"/>
                <w:sz w:val="16"/>
              </w:rPr>
              <w:t>Old versioned assets removed by the service-worker lifecycle or site-data controls</w:t>
            </w:r>
          </w:p>
        </w:tc>
      </w:tr>
      <w:tr>
        <w:trPr>
          <w:cantSplit w:val="true"/>
        </w:trPr>
        <w:tc>
          <w:tcPr>
            <w:tcW w:type="dxa" w:w="2244"/>
            <w:vAlign w:val="center"/>
            <w:tcMar>
              <w:top w:w="90" w:type="dxa"/>
              <w:start w:w="110" w:type="dxa"/>
              <w:bottom w:w="90" w:type="dxa"/>
              <w:end w:w="110" w:type="dxa"/>
            </w:tcMar>
          </w:tcPr>
          <w:p>
            <w:pPr>
              <w:spacing w:after="0" w:line="252" w:lineRule="auto"/>
            </w:pPr>
            <w:r>
              <w:rPr>
                <w:rFonts w:ascii="Calibri" w:hAnsi="Calibri"/>
                <w:sz w:val="16"/>
              </w:rPr>
              <w:t>Echo session scroll state</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Restore navigation position</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Browser-tab/session lifecycle</w:t>
            </w:r>
          </w:p>
        </w:tc>
        <w:tc>
          <w:tcPr>
            <w:tcW w:type="dxa" w:w="2348"/>
            <w:vAlign w:val="center"/>
            <w:tcMar>
              <w:top w:w="90" w:type="dxa"/>
              <w:start w:w="110" w:type="dxa"/>
              <w:bottom w:w="90" w:type="dxa"/>
              <w:end w:w="110" w:type="dxa"/>
            </w:tcMar>
          </w:tcPr>
          <w:p>
            <w:pPr>
              <w:spacing w:after="0" w:line="252" w:lineRule="auto"/>
            </w:pPr>
            <w:r>
              <w:rPr>
                <w:rFonts w:ascii="Calibri" w:hAnsi="Calibri"/>
                <w:sz w:val="16"/>
              </w:rPr>
              <w:t>Browser clears session storage</w:t>
            </w:r>
          </w:p>
        </w:tc>
      </w:tr>
    </w:tbl>
    <w:p>
      <w:pPr>
        <w:spacing w:after="0"/>
      </w:pPr>
    </w:p>
    <w:p>
      <w:r>
        <w:rPr>
          <w:rFonts w:ascii="Calibri" w:hAnsi="Calibri"/>
        </w:rPr>
        <w:t>Echo fields are user controlled. Visitors must not enter names, medical or safeguarding details, or other identifying content. Browser-stored custom board or shared-context content may be personal if the user puts personal information in it.</w:t>
      </w:r>
    </w:p>
    <w:p>
      <w:pPr>
        <w:pStyle w:val="Heading2"/>
      </w:pPr>
      <w:r>
        <w:rPr>
          <w:rFonts w:ascii="Calibri" w:hAnsi="Calibri"/>
        </w:rPr>
        <w:t>3.4 Public Sensory Profiler</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2143"/>
            <w:vAlign w:val="center"/>
            <w:tcMar>
              <w:top w:w="90" w:type="dxa"/>
              <w:start w:w="110" w:type="dxa"/>
              <w:bottom w:w="90" w:type="dxa"/>
              <w:end w:w="110" w:type="dxa"/>
            </w:tcMar>
            <w:shd w:fill="E2F1E6"/>
          </w:tcPr>
          <w:p>
            <w:pPr>
              <w:spacing w:after="0" w:line="252" w:lineRule="auto"/>
            </w:pPr>
            <w:r>
              <w:rPr>
                <w:rFonts w:ascii="Calibri" w:hAnsi="Calibri"/>
                <w:b/>
                <w:color w:val="274833"/>
                <w:sz w:val="16"/>
              </w:rPr>
              <w:t>Information / storage</w:t>
            </w:r>
          </w:p>
        </w:tc>
        <w:tc>
          <w:tcPr>
            <w:tcW w:type="dxa" w:w="2000"/>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2572"/>
            <w:vAlign w:val="center"/>
            <w:tcMar>
              <w:top w:w="90" w:type="dxa"/>
              <w:start w:w="110" w:type="dxa"/>
              <w:bottom w:w="90" w:type="dxa"/>
              <w:end w:w="110" w:type="dxa"/>
            </w:tcMar>
            <w:shd w:fill="E2F1E6"/>
          </w:tcPr>
          <w:p>
            <w:pPr>
              <w:spacing w:after="0" w:line="252" w:lineRule="auto"/>
            </w:pPr>
            <w:r>
              <w:rPr>
                <w:rFonts w:ascii="Calibri" w:hAnsi="Calibri"/>
                <w:b/>
                <w:color w:val="274833"/>
                <w:sz w:val="16"/>
              </w:rPr>
              <w:t>Period</w:t>
            </w:r>
          </w:p>
        </w:tc>
        <w:tc>
          <w:tcPr>
            <w:tcW w:type="dxa" w:w="2572"/>
            <w:vAlign w:val="center"/>
            <w:tcMar>
              <w:top w:w="90" w:type="dxa"/>
              <w:start w:w="110" w:type="dxa"/>
              <w:bottom w:w="90" w:type="dxa"/>
              <w:end w:w="110" w:type="dxa"/>
            </w:tcMar>
            <w:shd w:fill="E2F1E6"/>
          </w:tcPr>
          <w:p>
            <w:pPr>
              <w:spacing w:after="0" w:line="252" w:lineRule="auto"/>
            </w:pPr>
            <w:r>
              <w:rPr>
                <w:rFonts w:ascii="Calibri" w:hAnsi="Calibri"/>
                <w:b/>
                <w:color w:val="274833"/>
                <w:sz w:val="16"/>
              </w:rPr>
              <w:t>End-of-period action</w:t>
            </w:r>
          </w:p>
        </w:tc>
      </w:tr>
      <w:tr>
        <w:trPr>
          <w:cantSplit w:val="true"/>
        </w:trPr>
        <w:tc>
          <w:tcPr>
            <w:tcW w:type="dxa" w:w="2143"/>
            <w:vAlign w:val="center"/>
            <w:tcMar>
              <w:top w:w="90" w:type="dxa"/>
              <w:start w:w="110" w:type="dxa"/>
              <w:bottom w:w="90" w:type="dxa"/>
              <w:end w:w="110" w:type="dxa"/>
            </w:tcMar>
          </w:tcPr>
          <w:p>
            <w:pPr>
              <w:spacing w:after="0" w:line="252" w:lineRule="auto"/>
            </w:pPr>
            <w:r>
              <w:rPr>
                <w:rFonts w:ascii="Calibri" w:hAnsi="Calibri"/>
                <w:sz w:val="16"/>
              </w:rPr>
              <w:t>Generic domain, pattern and behaviour selections in browser session storage</w:t>
            </w:r>
          </w:p>
        </w:tc>
        <w:tc>
          <w:tcPr>
            <w:tcW w:type="dxa" w:w="2000"/>
            <w:vAlign w:val="center"/>
            <w:tcMar>
              <w:top w:w="90" w:type="dxa"/>
              <w:start w:w="110" w:type="dxa"/>
              <w:bottom w:w="90" w:type="dxa"/>
              <w:end w:w="110" w:type="dxa"/>
            </w:tcMar>
          </w:tcPr>
          <w:p>
            <w:pPr>
              <w:spacing w:after="0" w:line="252" w:lineRule="auto"/>
            </w:pPr>
            <w:r>
              <w:rPr>
                <w:rFonts w:ascii="Calibri" w:hAnsi="Calibri"/>
                <w:sz w:val="16"/>
              </w:rPr>
              <w:t>Carry selections from the questionnaire to the output route</w:t>
            </w:r>
          </w:p>
        </w:tc>
        <w:tc>
          <w:tcPr>
            <w:tcW w:type="dxa" w:w="2572"/>
            <w:vAlign w:val="center"/>
            <w:tcMar>
              <w:top w:w="90" w:type="dxa"/>
              <w:start w:w="110" w:type="dxa"/>
              <w:bottom w:w="90" w:type="dxa"/>
              <w:end w:w="110" w:type="dxa"/>
            </w:tcMar>
          </w:tcPr>
          <w:p>
            <w:pPr>
              <w:spacing w:after="0" w:line="252" w:lineRule="auto"/>
            </w:pPr>
            <w:r>
              <w:rPr>
                <w:rFonts w:ascii="Calibri" w:hAnsi="Calibri"/>
                <w:sz w:val="16"/>
              </w:rPr>
              <w:t>Current browser-tab/session; removed when the visitor selects Start a new profile</w:t>
            </w:r>
          </w:p>
        </w:tc>
        <w:tc>
          <w:tcPr>
            <w:tcW w:type="dxa" w:w="2572"/>
            <w:vAlign w:val="center"/>
            <w:tcMar>
              <w:top w:w="90" w:type="dxa"/>
              <w:start w:w="110" w:type="dxa"/>
              <w:bottom w:w="90" w:type="dxa"/>
              <w:end w:w="110" w:type="dxa"/>
            </w:tcMar>
          </w:tcPr>
          <w:p>
            <w:pPr>
              <w:spacing w:after="0" w:line="252" w:lineRule="auto"/>
            </w:pPr>
            <w:r>
              <w:rPr>
                <w:rFonts w:ascii="Calibri" w:hAnsi="Calibri"/>
                <w:sz w:val="16"/>
              </w:rPr>
              <w:t>Browser/session deletion or explicit removal</w:t>
            </w:r>
          </w:p>
        </w:tc>
      </w:tr>
      <w:tr>
        <w:trPr>
          <w:cantSplit w:val="true"/>
        </w:trPr>
        <w:tc>
          <w:tcPr>
            <w:tcW w:type="dxa" w:w="2143"/>
            <w:vAlign w:val="center"/>
            <w:tcMar>
              <w:top w:w="90" w:type="dxa"/>
              <w:start w:w="110" w:type="dxa"/>
              <w:bottom w:w="90" w:type="dxa"/>
              <w:end w:w="110" w:type="dxa"/>
            </w:tcMar>
            <w:shd w:fill="F7FAF8"/>
          </w:tcPr>
          <w:p>
            <w:pPr>
              <w:spacing w:after="0" w:line="252" w:lineRule="auto"/>
            </w:pPr>
            <w:r>
              <w:rPr>
                <w:rFonts w:ascii="Calibri" w:hAnsi="Calibri"/>
                <w:sz w:val="16"/>
              </w:rPr>
              <w:t>Anonymous catalogue selections sent for generation</w:t>
            </w:r>
          </w:p>
        </w:tc>
        <w:tc>
          <w:tcPr>
            <w:tcW w:type="dxa" w:w="2000"/>
            <w:vAlign w:val="center"/>
            <w:tcMar>
              <w:top w:w="90" w:type="dxa"/>
              <w:start w:w="110" w:type="dxa"/>
              <w:bottom w:w="90" w:type="dxa"/>
              <w:end w:w="110" w:type="dxa"/>
            </w:tcMar>
            <w:shd w:fill="F7FAF8"/>
          </w:tcPr>
          <w:p>
            <w:pPr>
              <w:spacing w:after="0" w:line="252" w:lineRule="auto"/>
            </w:pPr>
            <w:r>
              <w:rPr>
                <w:rFonts w:ascii="Calibri" w:hAnsi="Calibri"/>
                <w:sz w:val="16"/>
              </w:rPr>
              <w:t>Generate the requested profile</w:t>
            </w:r>
          </w:p>
        </w:tc>
        <w:tc>
          <w:tcPr>
            <w:tcW w:type="dxa" w:w="2572"/>
            <w:vAlign w:val="center"/>
            <w:tcMar>
              <w:top w:w="90" w:type="dxa"/>
              <w:start w:w="110" w:type="dxa"/>
              <w:bottom w:w="90" w:type="dxa"/>
              <w:end w:w="110" w:type="dxa"/>
            </w:tcMar>
            <w:shd w:fill="F7FAF8"/>
          </w:tcPr>
          <w:p>
            <w:pPr>
              <w:spacing w:after="0" w:line="252" w:lineRule="auto"/>
            </w:pPr>
            <w:r>
              <w:rPr>
                <w:rFonts w:ascii="Calibri" w:hAnsi="Calibri"/>
                <w:sz w:val="16"/>
              </w:rPr>
              <w:t>Request lifecycle; validated output may be held in volatile process memory for up to 10 minutes</w:t>
            </w:r>
          </w:p>
        </w:tc>
        <w:tc>
          <w:tcPr>
            <w:tcW w:type="dxa" w:w="2572"/>
            <w:vAlign w:val="center"/>
            <w:tcMar>
              <w:top w:w="90" w:type="dxa"/>
              <w:start w:w="110" w:type="dxa"/>
              <w:bottom w:w="90" w:type="dxa"/>
              <w:end w:w="110" w:type="dxa"/>
            </w:tcMar>
            <w:shd w:fill="F7FAF8"/>
          </w:tcPr>
          <w:p>
            <w:pPr>
              <w:spacing w:after="0" w:line="252" w:lineRule="auto"/>
            </w:pPr>
            <w:r>
              <w:rPr>
                <w:rFonts w:ascii="Calibri" w:hAnsi="Calibri"/>
                <w:sz w:val="16"/>
              </w:rPr>
              <w:t>Cache expiry or earlier process restart; no profile database write</w:t>
            </w:r>
          </w:p>
        </w:tc>
      </w:tr>
      <w:tr>
        <w:trPr>
          <w:cantSplit w:val="true"/>
        </w:trPr>
        <w:tc>
          <w:tcPr>
            <w:tcW w:type="dxa" w:w="2143"/>
            <w:vAlign w:val="center"/>
            <w:tcMar>
              <w:top w:w="90" w:type="dxa"/>
              <w:start w:w="110" w:type="dxa"/>
              <w:bottom w:w="90" w:type="dxa"/>
              <w:end w:w="110" w:type="dxa"/>
            </w:tcMar>
          </w:tcPr>
          <w:p>
            <w:pPr>
              <w:spacing w:after="0" w:line="252" w:lineRule="auto"/>
            </w:pPr>
            <w:r>
              <w:rPr>
                <w:rFonts w:ascii="Calibri" w:hAnsi="Calibri"/>
                <w:sz w:val="16"/>
              </w:rPr>
              <w:t>OpenAI Responses application state</w:t>
            </w:r>
          </w:p>
        </w:tc>
        <w:tc>
          <w:tcPr>
            <w:tcW w:type="dxa" w:w="2000"/>
            <w:vAlign w:val="center"/>
            <w:tcMar>
              <w:top w:w="90" w:type="dxa"/>
              <w:start w:w="110" w:type="dxa"/>
              <w:bottom w:w="90" w:type="dxa"/>
              <w:end w:w="110" w:type="dxa"/>
            </w:tcMar>
          </w:tcPr>
          <w:p>
            <w:pPr>
              <w:spacing w:after="0" w:line="252" w:lineRule="auto"/>
            </w:pPr>
            <w:r>
              <w:rPr>
                <w:rFonts w:ascii="Calibri" w:hAnsi="Calibri"/>
                <w:sz w:val="16"/>
              </w:rPr>
              <w:t>Generate the profile text</w:t>
            </w:r>
          </w:p>
        </w:tc>
        <w:tc>
          <w:tcPr>
            <w:tcW w:type="dxa" w:w="2572"/>
            <w:vAlign w:val="center"/>
            <w:tcMar>
              <w:top w:w="90" w:type="dxa"/>
              <w:start w:w="110" w:type="dxa"/>
              <w:bottom w:w="90" w:type="dxa"/>
              <w:end w:w="110" w:type="dxa"/>
            </w:tcMar>
          </w:tcPr>
          <w:p>
            <w:pPr>
              <w:spacing w:after="0" w:line="252" w:lineRule="auto"/>
            </w:pPr>
            <w:r>
              <w:rPr>
                <w:rFonts w:ascii="Calibri" w:hAnsi="Calibri"/>
                <w:sz w:val="16"/>
              </w:rPr>
              <w:t xml:space="preserve">The request sends </w:t>
            </w:r>
            <w:r>
              <w:rPr>
                <w:rFonts w:ascii="Aptos Mono" w:hAnsi="Aptos Mono"/>
                <w:color w:val="274833"/>
                <w:sz w:val="15"/>
              </w:rPr>
              <w:t>store:false</w:t>
            </w:r>
          </w:p>
        </w:tc>
        <w:tc>
          <w:tcPr>
            <w:tcW w:type="dxa" w:w="2572"/>
            <w:vAlign w:val="center"/>
            <w:tcMar>
              <w:top w:w="90" w:type="dxa"/>
              <w:start w:w="110" w:type="dxa"/>
              <w:bottom w:w="90" w:type="dxa"/>
              <w:end w:w="110" w:type="dxa"/>
            </w:tcMar>
          </w:tcPr>
          <w:p>
            <w:pPr>
              <w:spacing w:after="0" w:line="252" w:lineRule="auto"/>
            </w:pPr>
            <w:r>
              <w:rPr>
                <w:rFonts w:ascii="Calibri" w:hAnsi="Calibri"/>
                <w:sz w:val="16"/>
              </w:rPr>
              <w:t>No blanket ZDR claim: provider abuse-monitoring logs may still be retained for up to 30 days</w:t>
            </w:r>
          </w:p>
        </w:tc>
      </w:tr>
      <w:tr>
        <w:trPr>
          <w:cantSplit w:val="true"/>
        </w:trPr>
        <w:tc>
          <w:tcPr>
            <w:tcW w:type="dxa" w:w="2143"/>
            <w:vAlign w:val="center"/>
            <w:tcMar>
              <w:top w:w="90" w:type="dxa"/>
              <w:start w:w="110" w:type="dxa"/>
              <w:bottom w:w="90" w:type="dxa"/>
              <w:end w:w="110" w:type="dxa"/>
            </w:tcMar>
            <w:shd w:fill="F7FAF8"/>
          </w:tcPr>
          <w:p>
            <w:pPr>
              <w:spacing w:after="0" w:line="252" w:lineRule="auto"/>
            </w:pPr>
            <w:r>
              <w:rPr>
                <w:rFonts w:ascii="Calibri" w:hAnsi="Calibri"/>
                <w:sz w:val="16"/>
              </w:rPr>
              <w:t>Signed PDF content</w:t>
            </w:r>
          </w:p>
        </w:tc>
        <w:tc>
          <w:tcPr>
            <w:tcW w:type="dxa" w:w="2000"/>
            <w:vAlign w:val="center"/>
            <w:tcMar>
              <w:top w:w="90" w:type="dxa"/>
              <w:start w:w="110" w:type="dxa"/>
              <w:bottom w:w="90" w:type="dxa"/>
              <w:end w:w="110" w:type="dxa"/>
            </w:tcMar>
            <w:shd w:fill="F7FAF8"/>
          </w:tcPr>
          <w:p>
            <w:pPr>
              <w:spacing w:after="0" w:line="252" w:lineRule="auto"/>
            </w:pPr>
            <w:r>
              <w:rPr>
                <w:rFonts w:ascii="Calibri" w:hAnsi="Calibri"/>
                <w:sz w:val="16"/>
              </w:rPr>
              <w:t>Authenticate that PDF content is the unchanged server-generated result</w:t>
            </w:r>
          </w:p>
        </w:tc>
        <w:tc>
          <w:tcPr>
            <w:tcW w:type="dxa" w:w="2572"/>
            <w:vAlign w:val="center"/>
            <w:tcMar>
              <w:top w:w="90" w:type="dxa"/>
              <w:start w:w="110" w:type="dxa"/>
              <w:bottom w:w="90" w:type="dxa"/>
              <w:end w:w="110" w:type="dxa"/>
            </w:tcMar>
            <w:shd w:fill="F7FAF8"/>
          </w:tcPr>
          <w:p>
            <w:pPr>
              <w:spacing w:after="0" w:line="252" w:lineRule="auto"/>
            </w:pPr>
            <w:r>
              <w:rPr>
                <w:rFonts w:ascii="Calibri" w:hAnsi="Calibri"/>
                <w:sz w:val="16"/>
              </w:rPr>
              <w:t>HMAC-SHA256 signature expires after 10 minutes</w:t>
            </w:r>
          </w:p>
        </w:tc>
        <w:tc>
          <w:tcPr>
            <w:tcW w:type="dxa" w:w="2572"/>
            <w:vAlign w:val="center"/>
            <w:tcMar>
              <w:top w:w="90" w:type="dxa"/>
              <w:start w:w="110" w:type="dxa"/>
              <w:bottom w:w="90" w:type="dxa"/>
              <w:end w:w="110" w:type="dxa"/>
            </w:tcMar>
            <w:shd w:fill="F7FAF8"/>
          </w:tcPr>
          <w:p>
            <w:pPr>
              <w:spacing w:after="0" w:line="252" w:lineRule="auto"/>
            </w:pPr>
            <w:r>
              <w:rPr>
                <w:rFonts w:ascii="Calibri" w:hAnsi="Calibri"/>
                <w:sz w:val="16"/>
              </w:rPr>
              <w:t>Expired signatures are rejected; the visitor must generate again</w:t>
            </w:r>
          </w:p>
        </w:tc>
      </w:tr>
      <w:tr>
        <w:trPr>
          <w:cantSplit w:val="true"/>
        </w:trPr>
        <w:tc>
          <w:tcPr>
            <w:tcW w:type="dxa" w:w="2143"/>
            <w:vAlign w:val="center"/>
            <w:tcMar>
              <w:top w:w="90" w:type="dxa"/>
              <w:start w:w="110" w:type="dxa"/>
              <w:bottom w:w="90" w:type="dxa"/>
              <w:end w:w="110" w:type="dxa"/>
            </w:tcMar>
          </w:tcPr>
          <w:p>
            <w:pPr>
              <w:spacing w:after="0" w:line="252" w:lineRule="auto"/>
            </w:pPr>
            <w:r>
              <w:rPr>
                <w:rFonts w:ascii="Calibri" w:hAnsi="Calibri"/>
                <w:sz w:val="16"/>
              </w:rPr>
              <w:t>PDF rendering request and PDF</w:t>
            </w:r>
          </w:p>
        </w:tc>
        <w:tc>
          <w:tcPr>
            <w:tcW w:type="dxa" w:w="2000"/>
            <w:vAlign w:val="center"/>
            <w:tcMar>
              <w:top w:w="90" w:type="dxa"/>
              <w:start w:w="110" w:type="dxa"/>
              <w:bottom w:w="90" w:type="dxa"/>
              <w:end w:w="110" w:type="dxa"/>
            </w:tcMar>
          </w:tcPr>
          <w:p>
            <w:pPr>
              <w:spacing w:after="0" w:line="252" w:lineRule="auto"/>
            </w:pPr>
            <w:r>
              <w:rPr>
                <w:rFonts w:ascii="Calibri" w:hAnsi="Calibri"/>
                <w:sz w:val="16"/>
              </w:rPr>
              <w:t>Produce the download</w:t>
            </w:r>
          </w:p>
        </w:tc>
        <w:tc>
          <w:tcPr>
            <w:tcW w:type="dxa" w:w="2572"/>
            <w:vAlign w:val="center"/>
            <w:tcMar>
              <w:top w:w="90" w:type="dxa"/>
              <w:start w:w="110" w:type="dxa"/>
              <w:bottom w:w="90" w:type="dxa"/>
              <w:end w:w="110" w:type="dxa"/>
            </w:tcMar>
          </w:tcPr>
          <w:p>
            <w:pPr>
              <w:spacing w:after="0" w:line="252" w:lineRule="auto"/>
            </w:pPr>
            <w:r>
              <w:rPr>
                <w:rFonts w:ascii="Calibri" w:hAnsi="Calibri"/>
                <w:sz w:val="16"/>
              </w:rPr>
              <w:t xml:space="preserve">Request/response lifecycle only; response uses </w:t>
            </w:r>
            <w:r>
              <w:rPr>
                <w:rFonts w:ascii="Aptos Mono" w:hAnsi="Aptos Mono"/>
                <w:color w:val="274833"/>
                <w:sz w:val="15"/>
              </w:rPr>
              <w:t>Cache-Control: no-store</w:t>
            </w:r>
          </w:p>
        </w:tc>
        <w:tc>
          <w:tcPr>
            <w:tcW w:type="dxa" w:w="2572"/>
            <w:vAlign w:val="center"/>
            <w:tcMar>
              <w:top w:w="90" w:type="dxa"/>
              <w:start w:w="110" w:type="dxa"/>
              <w:bottom w:w="90" w:type="dxa"/>
              <w:end w:w="110" w:type="dxa"/>
            </w:tcMar>
          </w:tcPr>
          <w:p>
            <w:pPr>
              <w:spacing w:after="0" w:line="252" w:lineRule="auto"/>
            </w:pPr>
            <w:r>
              <w:rPr>
                <w:rFonts w:ascii="Calibri" w:hAnsi="Calibri"/>
                <w:sz w:val="16"/>
              </w:rPr>
              <w:t>Discard after response</w:t>
            </w:r>
          </w:p>
        </w:tc>
      </w:tr>
      <w:tr>
        <w:trPr>
          <w:cantSplit w:val="true"/>
        </w:trPr>
        <w:tc>
          <w:tcPr>
            <w:tcW w:type="dxa" w:w="2143"/>
            <w:vAlign w:val="center"/>
            <w:tcMar>
              <w:top w:w="90" w:type="dxa"/>
              <w:start w:w="110" w:type="dxa"/>
              <w:bottom w:w="90" w:type="dxa"/>
              <w:end w:w="110" w:type="dxa"/>
            </w:tcMar>
            <w:shd w:fill="F7FAF8"/>
          </w:tcPr>
          <w:p>
            <w:pPr>
              <w:spacing w:after="0" w:line="252" w:lineRule="auto"/>
            </w:pPr>
            <w:r>
              <w:rPr>
                <w:rFonts w:ascii="Calibri" w:hAnsi="Calibri"/>
                <w:sz w:val="16"/>
              </w:rPr>
              <w:t>PDF-access marker in session storage</w:t>
            </w:r>
          </w:p>
        </w:tc>
        <w:tc>
          <w:tcPr>
            <w:tcW w:type="dxa" w:w="2000"/>
            <w:vAlign w:val="center"/>
            <w:tcMar>
              <w:top w:w="90" w:type="dxa"/>
              <w:start w:w="110" w:type="dxa"/>
              <w:bottom w:w="90" w:type="dxa"/>
              <w:end w:w="110" w:type="dxa"/>
            </w:tcMar>
            <w:shd w:fill="F7FAF8"/>
          </w:tcPr>
          <w:p>
            <w:pPr>
              <w:spacing w:after="0" w:line="252" w:lineRule="auto"/>
            </w:pPr>
            <w:r>
              <w:rPr>
                <w:rFonts w:ascii="Calibri" w:hAnsi="Calibri"/>
                <w:sz w:val="16"/>
              </w:rPr>
              <w:t>Avoid asking for the email again in the same browser session</w:t>
            </w:r>
          </w:p>
        </w:tc>
        <w:tc>
          <w:tcPr>
            <w:tcW w:type="dxa" w:w="2572"/>
            <w:vAlign w:val="center"/>
            <w:tcMar>
              <w:top w:w="90" w:type="dxa"/>
              <w:start w:w="110" w:type="dxa"/>
              <w:bottom w:w="90" w:type="dxa"/>
              <w:end w:w="110" w:type="dxa"/>
            </w:tcMar>
            <w:shd w:fill="F7FAF8"/>
          </w:tcPr>
          <w:p>
            <w:pPr>
              <w:spacing w:after="0" w:line="252" w:lineRule="auto"/>
            </w:pPr>
            <w:r>
              <w:rPr>
                <w:rFonts w:ascii="Calibri" w:hAnsi="Calibri"/>
                <w:sz w:val="16"/>
              </w:rPr>
              <w:t>Current browser-tab/session</w:t>
            </w:r>
          </w:p>
        </w:tc>
        <w:tc>
          <w:tcPr>
            <w:tcW w:type="dxa" w:w="2572"/>
            <w:vAlign w:val="center"/>
            <w:tcMar>
              <w:top w:w="90" w:type="dxa"/>
              <w:start w:w="110" w:type="dxa"/>
              <w:bottom w:w="90" w:type="dxa"/>
              <w:end w:w="110" w:type="dxa"/>
            </w:tcMar>
            <w:shd w:fill="F7FAF8"/>
          </w:tcPr>
          <w:p>
            <w:pPr>
              <w:spacing w:after="0" w:line="252" w:lineRule="auto"/>
            </w:pPr>
            <w:r>
              <w:rPr>
                <w:rFonts w:ascii="Calibri" w:hAnsi="Calibri"/>
                <w:sz w:val="16"/>
              </w:rPr>
              <w:t>Browser clears session storage</w:t>
            </w:r>
          </w:p>
        </w:tc>
      </w:tr>
    </w:tbl>
    <w:p>
      <w:pPr>
        <w:spacing w:after="0"/>
      </w:pPr>
    </w:p>
    <w:p>
      <w:r>
        <w:rPr>
          <w:rFonts w:ascii="Calibri" w:hAnsi="Calibri"/>
        </w:rPr>
        <w:t>The generation API rejects name, school, SEND status, year group, setting, self-advocacy and free-text fields. If a school later attaches a downloaded PDF to an identifiable pupil record, that copy is controlled and retained by the school under its own schedule.</w:t>
      </w:r>
    </w:p>
    <w:p>
      <w:pPr>
        <w:pStyle w:val="Heading2"/>
      </w:pPr>
      <w:r>
        <w:rPr>
          <w:rFonts w:ascii="Calibri" w:hAnsi="Calibri"/>
        </w:rPr>
        <w:t>3.5 Security, abuse prevention and marketing measurement</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2130"/>
            <w:vAlign w:val="center"/>
            <w:tcMar>
              <w:top w:w="90" w:type="dxa"/>
              <w:start w:w="110" w:type="dxa"/>
              <w:bottom w:w="90" w:type="dxa"/>
              <w:end w:w="110" w:type="dxa"/>
            </w:tcMar>
            <w:shd w:fill="E2F1E6"/>
          </w:tcPr>
          <w:p>
            <w:pPr>
              <w:spacing w:after="0" w:line="252" w:lineRule="auto"/>
            </w:pPr>
            <w:r>
              <w:rPr>
                <w:rFonts w:ascii="Calibri" w:hAnsi="Calibri"/>
                <w:b/>
                <w:color w:val="274833"/>
                <w:sz w:val="16"/>
              </w:rPr>
              <w:t>Information</w:t>
            </w:r>
          </w:p>
        </w:tc>
        <w:tc>
          <w:tcPr>
            <w:tcW w:type="dxa" w:w="1834"/>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2662"/>
            <w:vAlign w:val="center"/>
            <w:tcMar>
              <w:top w:w="90" w:type="dxa"/>
              <w:start w:w="110" w:type="dxa"/>
              <w:bottom w:w="90" w:type="dxa"/>
              <w:end w:w="110" w:type="dxa"/>
            </w:tcMar>
            <w:shd w:fill="E2F1E6"/>
          </w:tcPr>
          <w:p>
            <w:pPr>
              <w:spacing w:after="0" w:line="252" w:lineRule="auto"/>
            </w:pPr>
            <w:r>
              <w:rPr>
                <w:rFonts w:ascii="Calibri" w:hAnsi="Calibri"/>
                <w:b/>
                <w:color w:val="274833"/>
                <w:sz w:val="16"/>
              </w:rPr>
              <w:t>Standard period / trigger</w:t>
            </w:r>
          </w:p>
        </w:tc>
        <w:tc>
          <w:tcPr>
            <w:tcW w:type="dxa" w:w="2662"/>
            <w:vAlign w:val="center"/>
            <w:tcMar>
              <w:top w:w="90" w:type="dxa"/>
              <w:start w:w="110" w:type="dxa"/>
              <w:bottom w:w="90" w:type="dxa"/>
              <w:end w:w="110" w:type="dxa"/>
            </w:tcMar>
            <w:shd w:fill="E2F1E6"/>
          </w:tcPr>
          <w:p>
            <w:pPr>
              <w:spacing w:after="0" w:line="252" w:lineRule="auto"/>
            </w:pPr>
            <w:r>
              <w:rPr>
                <w:rFonts w:ascii="Calibri" w:hAnsi="Calibri"/>
                <w:b/>
                <w:color w:val="274833"/>
                <w:sz w:val="16"/>
              </w:rPr>
              <w:t>Qualification</w:t>
            </w:r>
          </w:p>
        </w:tc>
      </w:tr>
      <w:tr>
        <w:trPr>
          <w:cantSplit w:val="true"/>
        </w:trPr>
        <w:tc>
          <w:tcPr>
            <w:tcW w:type="dxa" w:w="2130"/>
            <w:vAlign w:val="center"/>
            <w:tcMar>
              <w:top w:w="90" w:type="dxa"/>
              <w:start w:w="110" w:type="dxa"/>
              <w:bottom w:w="90" w:type="dxa"/>
              <w:end w:w="110" w:type="dxa"/>
            </w:tcMar>
          </w:tcPr>
          <w:p>
            <w:pPr>
              <w:spacing w:after="0" w:line="252" w:lineRule="auto"/>
            </w:pPr>
            <w:r>
              <w:rPr>
                <w:rFonts w:ascii="Calibri" w:hAnsi="Calibri"/>
                <w:sz w:val="16"/>
              </w:rPr>
              <w:t>Upstash public-API rate-limit keys</w:t>
            </w:r>
          </w:p>
        </w:tc>
        <w:tc>
          <w:tcPr>
            <w:tcW w:type="dxa" w:w="1834"/>
            <w:vAlign w:val="center"/>
            <w:tcMar>
              <w:top w:w="90" w:type="dxa"/>
              <w:start w:w="110" w:type="dxa"/>
              <w:bottom w:w="90" w:type="dxa"/>
              <w:end w:w="110" w:type="dxa"/>
            </w:tcMar>
          </w:tcPr>
          <w:p>
            <w:pPr>
              <w:spacing w:after="0" w:line="252" w:lineRule="auto"/>
            </w:pPr>
            <w:r>
              <w:rPr>
                <w:rFonts w:ascii="Calibri" w:hAnsi="Calibri"/>
                <w:sz w:val="16"/>
              </w:rPr>
              <w:t>Prevent automated abuse and enforce per-route limits</w:t>
            </w:r>
          </w:p>
        </w:tc>
        <w:tc>
          <w:tcPr>
            <w:tcW w:type="dxa" w:w="2662"/>
            <w:vAlign w:val="center"/>
            <w:tcMar>
              <w:top w:w="90" w:type="dxa"/>
              <w:start w:w="110" w:type="dxa"/>
              <w:bottom w:w="90" w:type="dxa"/>
              <w:end w:w="110" w:type="dxa"/>
            </w:tcMar>
          </w:tcPr>
          <w:p>
            <w:pPr>
              <w:spacing w:after="0" w:line="252" w:lineRule="auto"/>
            </w:pPr>
            <w:r>
              <w:rPr>
                <w:rFonts w:ascii="Calibri" w:hAnsi="Calibri"/>
                <w:sz w:val="16"/>
              </w:rPr>
              <w:t>A little over two minutes after the one-minute sliding window</w:t>
            </w:r>
          </w:p>
        </w:tc>
        <w:tc>
          <w:tcPr>
            <w:tcW w:type="dxa" w:w="2662"/>
            <w:vAlign w:val="center"/>
            <w:tcMar>
              <w:top w:w="90" w:type="dxa"/>
              <w:start w:w="110" w:type="dxa"/>
              <w:bottom w:w="90" w:type="dxa"/>
              <w:end w:w="110" w:type="dxa"/>
            </w:tcMar>
          </w:tcPr>
          <w:p>
            <w:pPr>
              <w:spacing w:after="0" w:line="252" w:lineRule="auto"/>
            </w:pPr>
            <w:r>
              <w:rPr>
                <w:rFonts w:ascii="Calibri" w:hAnsi="Calibri"/>
                <w:sz w:val="16"/>
              </w:rPr>
              <w:t>Key is a policy-specific HMAC-SHA256 value derived from the request IP. Raw IP and form data are not sent to Upstash.</w:t>
            </w:r>
          </w:p>
        </w:tc>
      </w:tr>
      <w:tr>
        <w:trPr>
          <w:cantSplit w:val="true"/>
        </w:trPr>
        <w:tc>
          <w:tcPr>
            <w:tcW w:type="dxa" w:w="2130"/>
            <w:vAlign w:val="center"/>
            <w:tcMar>
              <w:top w:w="90" w:type="dxa"/>
              <w:start w:w="110" w:type="dxa"/>
              <w:bottom w:w="90" w:type="dxa"/>
              <w:end w:w="110" w:type="dxa"/>
            </w:tcMar>
            <w:shd w:fill="F7FAF8"/>
          </w:tcPr>
          <w:p>
            <w:pPr>
              <w:spacing w:after="0" w:line="252" w:lineRule="auto"/>
            </w:pPr>
            <w:r>
              <w:rPr>
                <w:rFonts w:ascii="Calibri" w:hAnsi="Calibri"/>
                <w:sz w:val="16"/>
              </w:rPr>
              <w:t>Hosting/security logs, which may include IP address and request metadata</w:t>
            </w:r>
          </w:p>
        </w:tc>
        <w:tc>
          <w:tcPr>
            <w:tcW w:type="dxa" w:w="1834"/>
            <w:vAlign w:val="center"/>
            <w:tcMar>
              <w:top w:w="90" w:type="dxa"/>
              <w:start w:w="110" w:type="dxa"/>
              <w:bottom w:w="90" w:type="dxa"/>
              <w:end w:w="110" w:type="dxa"/>
            </w:tcMar>
            <w:shd w:fill="F7FAF8"/>
          </w:tcPr>
          <w:p>
            <w:pPr>
              <w:spacing w:after="0" w:line="252" w:lineRule="auto"/>
            </w:pPr>
            <w:r>
              <w:rPr>
                <w:rFonts w:ascii="Calibri" w:hAnsi="Calibri"/>
                <w:sz w:val="16"/>
              </w:rPr>
              <w:t>Threat detection, incident investigation and service operation</w:t>
            </w:r>
          </w:p>
        </w:tc>
        <w:tc>
          <w:tcPr>
            <w:tcW w:type="dxa" w:w="2662"/>
            <w:vAlign w:val="center"/>
            <w:tcMar>
              <w:top w:w="90" w:type="dxa"/>
              <w:start w:w="110" w:type="dxa"/>
              <w:bottom w:w="90" w:type="dxa"/>
              <w:end w:w="110" w:type="dxa"/>
            </w:tcMar>
            <w:shd w:fill="F7FAF8"/>
          </w:tcPr>
          <w:p>
            <w:pPr>
              <w:spacing w:after="0" w:line="252" w:lineRule="auto"/>
            </w:pPr>
            <w:r>
              <w:rPr>
                <w:rFonts w:ascii="Calibri" w:hAnsi="Calibri"/>
                <w:sz w:val="16"/>
              </w:rPr>
              <w:t>Provider/account-controlled operational period; reviewed against need and provider settings</w:t>
            </w:r>
          </w:p>
        </w:tc>
        <w:tc>
          <w:tcPr>
            <w:tcW w:type="dxa" w:w="2662"/>
            <w:vAlign w:val="center"/>
            <w:tcMar>
              <w:top w:w="90" w:type="dxa"/>
              <w:start w:w="110" w:type="dxa"/>
              <w:bottom w:w="90" w:type="dxa"/>
              <w:end w:w="110" w:type="dxa"/>
            </w:tcMar>
            <w:shd w:fill="F7FAF8"/>
          </w:tcPr>
          <w:p>
            <w:pPr>
              <w:spacing w:after="0" w:line="252" w:lineRule="auto"/>
            </w:pPr>
            <w:r>
              <w:rPr>
                <w:rFonts w:ascii="Calibri" w:hAnsi="Calibri"/>
                <w:sz w:val="16"/>
              </w:rPr>
              <w:t>This schedule does not invent a single fixed Vercel log period that is not verified in the implementation review. Request bodies must not be deliberately logged by public routes.</w:t>
            </w:r>
          </w:p>
        </w:tc>
      </w:tr>
      <w:tr>
        <w:trPr>
          <w:cantSplit w:val="true"/>
        </w:trPr>
        <w:tc>
          <w:tcPr>
            <w:tcW w:type="dxa" w:w="2130"/>
            <w:vAlign w:val="center"/>
            <w:tcMar>
              <w:top w:w="90" w:type="dxa"/>
              <w:start w:w="110" w:type="dxa"/>
              <w:bottom w:w="90" w:type="dxa"/>
              <w:end w:w="110" w:type="dxa"/>
            </w:tcMar>
          </w:tcPr>
          <w:p>
            <w:pPr>
              <w:spacing w:after="0" w:line="252" w:lineRule="auto"/>
            </w:pPr>
            <w:r>
              <w:rPr>
                <w:rFonts w:ascii="Calibri" w:hAnsi="Calibri"/>
                <w:sz w:val="16"/>
              </w:rPr>
              <w:t>Public API error logs</w:t>
            </w:r>
          </w:p>
        </w:tc>
        <w:tc>
          <w:tcPr>
            <w:tcW w:type="dxa" w:w="1834"/>
            <w:vAlign w:val="center"/>
            <w:tcMar>
              <w:top w:w="90" w:type="dxa"/>
              <w:start w:w="110" w:type="dxa"/>
              <w:bottom w:w="90" w:type="dxa"/>
              <w:end w:w="110" w:type="dxa"/>
            </w:tcMar>
          </w:tcPr>
          <w:p>
            <w:pPr>
              <w:spacing w:after="0" w:line="252" w:lineRule="auto"/>
            </w:pPr>
            <w:r>
              <w:rPr>
                <w:rFonts w:ascii="Calibri" w:hAnsi="Calibri"/>
                <w:sz w:val="16"/>
              </w:rPr>
              <w:t>Diagnose route failures</w:t>
            </w:r>
          </w:p>
        </w:tc>
        <w:tc>
          <w:tcPr>
            <w:tcW w:type="dxa" w:w="2662"/>
            <w:vAlign w:val="center"/>
            <w:tcMar>
              <w:top w:w="90" w:type="dxa"/>
              <w:start w:w="110" w:type="dxa"/>
              <w:bottom w:w="90" w:type="dxa"/>
              <w:end w:w="110" w:type="dxa"/>
            </w:tcMar>
          </w:tcPr>
          <w:p>
            <w:pPr>
              <w:spacing w:after="0" w:line="252" w:lineRule="auto"/>
            </w:pPr>
            <w:r>
              <w:rPr>
                <w:rFonts w:ascii="Calibri" w:hAnsi="Calibri"/>
                <w:sz w:val="16"/>
              </w:rPr>
              <w:t>Operational log period</w:t>
            </w:r>
          </w:p>
        </w:tc>
        <w:tc>
          <w:tcPr>
            <w:tcW w:type="dxa" w:w="2662"/>
            <w:vAlign w:val="center"/>
            <w:tcMar>
              <w:top w:w="90" w:type="dxa"/>
              <w:start w:w="110" w:type="dxa"/>
              <w:bottom w:w="90" w:type="dxa"/>
              <w:end w:w="110" w:type="dxa"/>
            </w:tcMar>
          </w:tcPr>
          <w:p>
            <w:pPr>
              <w:spacing w:after="0" w:line="252" w:lineRule="auto"/>
            </w:pPr>
            <w:r>
              <w:rPr>
                <w:rFonts w:ascii="Calibri" w:hAnsi="Calibri"/>
                <w:sz w:val="16"/>
              </w:rPr>
              <w:t>Current routes log bounded error types/codes, not form values or public-tool request bodies.</w:t>
            </w:r>
          </w:p>
        </w:tc>
      </w:tr>
      <w:tr>
        <w:trPr>
          <w:cantSplit w:val="true"/>
        </w:trPr>
        <w:tc>
          <w:tcPr>
            <w:tcW w:type="dxa" w:w="2130"/>
            <w:vAlign w:val="center"/>
            <w:tcMar>
              <w:top w:w="90" w:type="dxa"/>
              <w:start w:w="110" w:type="dxa"/>
              <w:bottom w:w="90" w:type="dxa"/>
              <w:end w:w="110" w:type="dxa"/>
            </w:tcMar>
            <w:shd w:fill="F7FAF8"/>
          </w:tcPr>
          <w:p>
            <w:pPr>
              <w:spacing w:after="0" w:line="252" w:lineRule="auto"/>
            </w:pPr>
            <w:r>
              <w:rPr>
                <w:rFonts w:ascii="Calibri" w:hAnsi="Calibri"/>
                <w:sz w:val="16"/>
              </w:rPr>
              <w:t>Vercel Web Analytics visitor identifier</w:t>
            </w:r>
          </w:p>
        </w:tc>
        <w:tc>
          <w:tcPr>
            <w:tcW w:type="dxa" w:w="1834"/>
            <w:vAlign w:val="center"/>
            <w:tcMar>
              <w:top w:w="90" w:type="dxa"/>
              <w:start w:w="110" w:type="dxa"/>
              <w:bottom w:w="90" w:type="dxa"/>
              <w:end w:w="110" w:type="dxa"/>
            </w:tcMar>
            <w:shd w:fill="F7FAF8"/>
          </w:tcPr>
          <w:p>
            <w:pPr>
              <w:spacing w:after="0" w:line="252" w:lineRule="auto"/>
            </w:pPr>
            <w:r>
              <w:rPr>
                <w:rFonts w:ascii="Calibri" w:hAnsi="Calibri"/>
                <w:sz w:val="16"/>
              </w:rPr>
              <w:t>Produce anonymous, aggregated traffic measurement</w:t>
            </w:r>
          </w:p>
        </w:tc>
        <w:tc>
          <w:tcPr>
            <w:tcW w:type="dxa" w:w="2662"/>
            <w:vAlign w:val="center"/>
            <w:tcMar>
              <w:top w:w="90" w:type="dxa"/>
              <w:start w:w="110" w:type="dxa"/>
              <w:bottom w:w="90" w:type="dxa"/>
              <w:end w:w="110" w:type="dxa"/>
            </w:tcMar>
            <w:shd w:fill="F7FAF8"/>
          </w:tcPr>
          <w:p>
            <w:pPr>
              <w:spacing w:after="0" w:line="252" w:lineRule="auto"/>
            </w:pPr>
            <w:r>
              <w:rPr>
                <w:rFonts w:ascii="Calibri" w:hAnsi="Calibri"/>
                <w:sz w:val="16"/>
              </w:rPr>
              <w:t>Automatically resets after 24 hours</w:t>
            </w:r>
          </w:p>
        </w:tc>
        <w:tc>
          <w:tcPr>
            <w:tcW w:type="dxa" w:w="2662"/>
            <w:vAlign w:val="center"/>
            <w:tcMar>
              <w:top w:w="90" w:type="dxa"/>
              <w:start w:w="110" w:type="dxa"/>
              <w:bottom w:w="90" w:type="dxa"/>
              <w:end w:w="110" w:type="dxa"/>
            </w:tcMar>
            <w:shd w:fill="F7FAF8"/>
          </w:tcPr>
          <w:p>
            <w:pPr>
              <w:spacing w:after="0" w:line="252" w:lineRule="auto"/>
            </w:pPr>
            <w:r>
              <w:rPr>
                <w:rFonts w:ascii="Calibri" w:hAnsi="Calibri"/>
                <w:sz w:val="16"/>
              </w:rPr>
              <w:t>No cookie; not associated with an individual or IP address in Student Radar analytics reports.</w:t>
            </w:r>
          </w:p>
        </w:tc>
      </w:tr>
      <w:tr>
        <w:trPr>
          <w:cantSplit w:val="true"/>
        </w:trPr>
        <w:tc>
          <w:tcPr>
            <w:tcW w:type="dxa" w:w="2130"/>
            <w:vAlign w:val="center"/>
            <w:tcMar>
              <w:top w:w="90" w:type="dxa"/>
              <w:start w:w="110" w:type="dxa"/>
              <w:bottom w:w="90" w:type="dxa"/>
              <w:end w:w="110" w:type="dxa"/>
            </w:tcMar>
          </w:tcPr>
          <w:p>
            <w:pPr>
              <w:spacing w:after="0" w:line="252" w:lineRule="auto"/>
            </w:pPr>
            <w:r>
              <w:rPr>
                <w:rFonts w:ascii="Calibri" w:hAnsi="Calibri"/>
                <w:sz w:val="16"/>
              </w:rPr>
              <w:t>Web Analytics aggregate data and custom events</w:t>
            </w:r>
          </w:p>
        </w:tc>
        <w:tc>
          <w:tcPr>
            <w:tcW w:type="dxa" w:w="1834"/>
            <w:vAlign w:val="center"/>
            <w:tcMar>
              <w:top w:w="90" w:type="dxa"/>
              <w:start w:w="110" w:type="dxa"/>
              <w:bottom w:w="90" w:type="dxa"/>
              <w:end w:w="110" w:type="dxa"/>
            </w:tcMar>
          </w:tcPr>
          <w:p>
            <w:pPr>
              <w:spacing w:after="0" w:line="252" w:lineRule="auto"/>
            </w:pPr>
            <w:r>
              <w:rPr>
                <w:rFonts w:ascii="Calibri" w:hAnsi="Calibri"/>
                <w:sz w:val="16"/>
              </w:rPr>
              <w:t>Understand page use and approved non-personal funnel steps</w:t>
            </w:r>
          </w:p>
        </w:tc>
        <w:tc>
          <w:tcPr>
            <w:tcW w:type="dxa" w:w="2662"/>
            <w:vAlign w:val="center"/>
            <w:tcMar>
              <w:top w:w="90" w:type="dxa"/>
              <w:start w:w="110" w:type="dxa"/>
              <w:bottom w:w="90" w:type="dxa"/>
              <w:end w:w="110" w:type="dxa"/>
            </w:tcMar>
          </w:tcPr>
          <w:p>
            <w:pPr>
              <w:spacing w:after="0" w:line="252" w:lineRule="auto"/>
            </w:pPr>
            <w:r>
              <w:rPr>
                <w:rFonts w:ascii="Calibri" w:hAnsi="Calibri"/>
                <w:sz w:val="16"/>
              </w:rPr>
              <w:t>Retained under the current Vercel plan and account controls</w:t>
            </w:r>
          </w:p>
        </w:tc>
        <w:tc>
          <w:tcPr>
            <w:tcW w:type="dxa" w:w="2662"/>
            <w:vAlign w:val="center"/>
            <w:tcMar>
              <w:top w:w="90" w:type="dxa"/>
              <w:start w:w="110" w:type="dxa"/>
              <w:bottom w:w="90" w:type="dxa"/>
              <w:end w:w="110" w:type="dxa"/>
            </w:tcMar>
          </w:tcPr>
          <w:p>
            <w:pPr>
              <w:spacing w:after="0" w:line="252" w:lineRule="auto"/>
            </w:pPr>
            <w:r>
              <w:rPr>
                <w:rFonts w:ascii="Calibri" w:hAnsi="Calibri"/>
                <w:sz w:val="16"/>
              </w:rPr>
              <w:t>Query strings and fragments are removed. Custom properties are allowlisted and exclude names, emails, school names, notes and query strings.</w:t>
            </w:r>
          </w:p>
        </w:tc>
      </w:tr>
      <w:tr>
        <w:trPr>
          <w:cantSplit w:val="true"/>
        </w:trPr>
        <w:tc>
          <w:tcPr>
            <w:tcW w:type="dxa" w:w="2130"/>
            <w:vAlign w:val="center"/>
            <w:tcMar>
              <w:top w:w="90" w:type="dxa"/>
              <w:start w:w="110" w:type="dxa"/>
              <w:bottom w:w="90" w:type="dxa"/>
              <w:end w:w="110" w:type="dxa"/>
            </w:tcMar>
            <w:shd w:fill="F7FAF8"/>
          </w:tcPr>
          <w:p>
            <w:pPr>
              <w:spacing w:after="0" w:line="252" w:lineRule="auto"/>
            </w:pPr>
            <w:r>
              <w:rPr>
                <w:rFonts w:ascii="Calibri" w:hAnsi="Calibri"/>
                <w:sz w:val="16"/>
              </w:rPr>
              <w:t>Vercel Speed Insights data</w:t>
            </w:r>
          </w:p>
        </w:tc>
        <w:tc>
          <w:tcPr>
            <w:tcW w:type="dxa" w:w="1834"/>
            <w:vAlign w:val="center"/>
            <w:tcMar>
              <w:top w:w="90" w:type="dxa"/>
              <w:start w:w="110" w:type="dxa"/>
              <w:bottom w:w="90" w:type="dxa"/>
              <w:end w:w="110" w:type="dxa"/>
            </w:tcMar>
            <w:shd w:fill="F7FAF8"/>
          </w:tcPr>
          <w:p>
            <w:pPr>
              <w:spacing w:after="0" w:line="252" w:lineRule="auto"/>
            </w:pPr>
            <w:r>
              <w:rPr>
                <w:rFonts w:ascii="Calibri" w:hAnsi="Calibri"/>
                <w:sz w:val="16"/>
              </w:rPr>
              <w:t>Measure route and Core Web Vitals performance</w:t>
            </w:r>
          </w:p>
        </w:tc>
        <w:tc>
          <w:tcPr>
            <w:tcW w:type="dxa" w:w="2662"/>
            <w:vAlign w:val="center"/>
            <w:tcMar>
              <w:top w:w="90" w:type="dxa"/>
              <w:start w:w="110" w:type="dxa"/>
              <w:bottom w:w="90" w:type="dxa"/>
              <w:end w:w="110" w:type="dxa"/>
            </w:tcMar>
            <w:shd w:fill="F7FAF8"/>
          </w:tcPr>
          <w:p>
            <w:pPr>
              <w:spacing w:after="0" w:line="252" w:lineRule="auto"/>
            </w:pPr>
            <w:r>
              <w:rPr>
                <w:rFonts w:ascii="Calibri" w:hAnsi="Calibri"/>
                <w:sz w:val="16"/>
              </w:rPr>
              <w:t>Retained under the current Vercel plan and account controls</w:t>
            </w:r>
          </w:p>
        </w:tc>
        <w:tc>
          <w:tcPr>
            <w:tcW w:type="dxa" w:w="2662"/>
            <w:vAlign w:val="center"/>
            <w:tcMar>
              <w:top w:w="90" w:type="dxa"/>
              <w:start w:w="110" w:type="dxa"/>
              <w:bottom w:w="90" w:type="dxa"/>
              <w:end w:w="110" w:type="dxa"/>
            </w:tcMar>
            <w:shd w:fill="F7FAF8"/>
          </w:tcPr>
          <w:p>
            <w:pPr>
              <w:spacing w:after="0" w:line="252" w:lineRule="auto"/>
            </w:pPr>
            <w:r>
              <w:rPr>
                <w:rFonts w:ascii="Calibri" w:hAnsi="Calibri"/>
                <w:sz w:val="16"/>
              </w:rPr>
              <w:t>Vercel describes data points as anonymous and not tied to a visitor or IP address.</w:t>
            </w:r>
          </w:p>
        </w:tc>
      </w:tr>
    </w:tbl>
    <w:p>
      <w:pPr>
        <w:spacing w:after="0"/>
      </w:pPr>
    </w:p>
    <w:p>
      <w:pPr>
        <w:pStyle w:val="Heading2"/>
      </w:pPr>
      <w:r>
        <w:rPr>
          <w:rFonts w:ascii="Calibri" w:hAnsi="Calibri"/>
        </w:rPr>
        <w:t>3.6 Corporate, contract and incident records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2369"/>
            <w:vAlign w:val="center"/>
            <w:tcMar>
              <w:top w:w="90" w:type="dxa"/>
              <w:start w:w="110" w:type="dxa"/>
              <w:bottom w:w="90" w:type="dxa"/>
              <w:end w:w="110" w:type="dxa"/>
            </w:tcMar>
            <w:shd w:fill="E2F1E6"/>
          </w:tcPr>
          <w:p>
            <w:pPr>
              <w:spacing w:after="0" w:line="252" w:lineRule="auto"/>
            </w:pPr>
            <w:r>
              <w:rPr>
                <w:rFonts w:ascii="Calibri" w:hAnsi="Calibri"/>
                <w:b/>
                <w:color w:val="274833"/>
                <w:sz w:val="16"/>
              </w:rPr>
              <w:t>Information</w:t>
            </w:r>
          </w:p>
        </w:tc>
        <w:tc>
          <w:tcPr>
            <w:tcW w:type="dxa" w:w="1927"/>
            <w:vAlign w:val="center"/>
            <w:tcMar>
              <w:top w:w="90" w:type="dxa"/>
              <w:start w:w="110" w:type="dxa"/>
              <w:bottom w:w="90" w:type="dxa"/>
              <w:end w:w="110" w:type="dxa"/>
            </w:tcMar>
            <w:shd w:fill="E2F1E6"/>
          </w:tcPr>
          <w:p>
            <w:pPr>
              <w:spacing w:after="0" w:line="252" w:lineRule="auto"/>
            </w:pPr>
            <w:r>
              <w:rPr>
                <w:rFonts w:ascii="Calibri" w:hAnsi="Calibri"/>
                <w:b/>
                <w:color w:val="274833"/>
                <w:sz w:val="16"/>
              </w:rPr>
              <w:t>Purpose</w:t>
            </w:r>
          </w:p>
        </w:tc>
        <w:tc>
          <w:tcPr>
            <w:tcW w:type="dxa" w:w="2748"/>
            <w:vAlign w:val="center"/>
            <w:tcMar>
              <w:top w:w="90" w:type="dxa"/>
              <w:start w:w="110" w:type="dxa"/>
              <w:bottom w:w="90" w:type="dxa"/>
              <w:end w:w="110" w:type="dxa"/>
            </w:tcMar>
            <w:shd w:fill="E2F1E6"/>
          </w:tcPr>
          <w:p>
            <w:pPr>
              <w:spacing w:after="0" w:line="252" w:lineRule="auto"/>
            </w:pPr>
            <w:r>
              <w:rPr>
                <w:rFonts w:ascii="Calibri" w:hAnsi="Calibri"/>
                <w:b/>
                <w:color w:val="274833"/>
                <w:sz w:val="16"/>
              </w:rPr>
              <w:t>Standard period / trigger</w:t>
            </w:r>
          </w:p>
        </w:tc>
        <w:tc>
          <w:tcPr>
            <w:tcW w:type="dxa" w:w="2243"/>
            <w:vAlign w:val="center"/>
            <w:tcMar>
              <w:top w:w="90" w:type="dxa"/>
              <w:start w:w="110" w:type="dxa"/>
              <w:bottom w:w="90" w:type="dxa"/>
              <w:end w:w="110" w:type="dxa"/>
            </w:tcMar>
            <w:shd w:fill="E2F1E6"/>
          </w:tcPr>
          <w:p>
            <w:pPr>
              <w:spacing w:after="0" w:line="252" w:lineRule="auto"/>
            </w:pPr>
            <w:r>
              <w:rPr>
                <w:rFonts w:ascii="Calibri" w:hAnsi="Calibri"/>
                <w:b/>
                <w:color w:val="274833"/>
                <w:sz w:val="16"/>
              </w:rPr>
              <w:t>End-of-period action</w:t>
            </w:r>
          </w:p>
        </w:tc>
      </w:tr>
      <w:tr>
        <w:trPr>
          <w:cantSplit w:val="true"/>
        </w:trPr>
        <w:tc>
          <w:tcPr>
            <w:tcW w:type="dxa" w:w="2369"/>
            <w:vAlign w:val="center"/>
            <w:tcMar>
              <w:top w:w="90" w:type="dxa"/>
              <w:start w:w="110" w:type="dxa"/>
              <w:bottom w:w="90" w:type="dxa"/>
              <w:end w:w="110" w:type="dxa"/>
            </w:tcMar>
          </w:tcPr>
          <w:p>
            <w:pPr>
              <w:spacing w:after="0" w:line="252" w:lineRule="auto"/>
            </w:pPr>
            <w:r>
              <w:rPr>
                <w:rFonts w:ascii="Calibri" w:hAnsi="Calibri"/>
                <w:sz w:val="16"/>
              </w:rPr>
              <w:t>Executed agreements, Order Forms, DPAs and material contract correspondence</w:t>
            </w:r>
          </w:p>
        </w:tc>
        <w:tc>
          <w:tcPr>
            <w:tcW w:type="dxa" w:w="1927"/>
            <w:vAlign w:val="center"/>
            <w:tcMar>
              <w:top w:w="90" w:type="dxa"/>
              <w:start w:w="110" w:type="dxa"/>
              <w:bottom w:w="90" w:type="dxa"/>
              <w:end w:w="110" w:type="dxa"/>
            </w:tcMar>
          </w:tcPr>
          <w:p>
            <w:pPr>
              <w:spacing w:after="0" w:line="252" w:lineRule="auto"/>
            </w:pPr>
            <w:r>
              <w:rPr>
                <w:rFonts w:ascii="Calibri" w:hAnsi="Calibri"/>
                <w:sz w:val="16"/>
              </w:rPr>
              <w:t>Contract administration, audit and legal claims</w:t>
            </w:r>
          </w:p>
        </w:tc>
        <w:tc>
          <w:tcPr>
            <w:tcW w:type="dxa" w:w="2748"/>
            <w:vAlign w:val="center"/>
            <w:tcMar>
              <w:top w:w="90" w:type="dxa"/>
              <w:start w:w="110" w:type="dxa"/>
              <w:bottom w:w="90" w:type="dxa"/>
              <w:end w:w="110" w:type="dxa"/>
            </w:tcMar>
          </w:tcPr>
          <w:p>
            <w:pPr>
              <w:spacing w:after="0" w:line="252" w:lineRule="auto"/>
            </w:pPr>
            <w:r>
              <w:rPr>
                <w:rFonts w:ascii="Calibri" w:hAnsi="Calibri"/>
                <w:sz w:val="16"/>
              </w:rPr>
              <w:t>Agreement term plus six years, unless a longer legal hold applies</w:t>
            </w:r>
          </w:p>
        </w:tc>
        <w:tc>
          <w:tcPr>
            <w:tcW w:type="dxa" w:w="2243"/>
            <w:vAlign w:val="center"/>
            <w:tcMar>
              <w:top w:w="90" w:type="dxa"/>
              <w:start w:w="110" w:type="dxa"/>
              <w:bottom w:w="90" w:type="dxa"/>
              <w:end w:w="110" w:type="dxa"/>
            </w:tcMar>
          </w:tcPr>
          <w:p>
            <w:pPr>
              <w:spacing w:after="0" w:line="252" w:lineRule="auto"/>
            </w:pPr>
            <w:r>
              <w:rPr>
                <w:rFonts w:ascii="Calibri" w:hAnsi="Calibri"/>
                <w:sz w:val="16"/>
              </w:rPr>
              <w:t>Secure deletion at expiry</w:t>
            </w:r>
          </w:p>
        </w:tc>
      </w:tr>
      <w:tr>
        <w:trPr>
          <w:cantSplit w:val="true"/>
        </w:trPr>
        <w:tc>
          <w:tcPr>
            <w:tcW w:type="dxa" w:w="2369"/>
            <w:vAlign w:val="center"/>
            <w:tcMar>
              <w:top w:w="90" w:type="dxa"/>
              <w:start w:w="110" w:type="dxa"/>
              <w:bottom w:w="90" w:type="dxa"/>
              <w:end w:w="110" w:type="dxa"/>
            </w:tcMar>
            <w:shd w:fill="F7FAF8"/>
          </w:tcPr>
          <w:p>
            <w:pPr>
              <w:spacing w:after="0" w:line="252" w:lineRule="auto"/>
            </w:pPr>
            <w:r>
              <w:rPr>
                <w:rFonts w:ascii="Calibri" w:hAnsi="Calibri"/>
                <w:sz w:val="16"/>
              </w:rPr>
              <w:t>Invoices and accounting records</w:t>
            </w:r>
          </w:p>
        </w:tc>
        <w:tc>
          <w:tcPr>
            <w:tcW w:type="dxa" w:w="1927"/>
            <w:vAlign w:val="center"/>
            <w:tcMar>
              <w:top w:w="90" w:type="dxa"/>
              <w:start w:w="110" w:type="dxa"/>
              <w:bottom w:w="90" w:type="dxa"/>
              <w:end w:w="110" w:type="dxa"/>
            </w:tcMar>
            <w:shd w:fill="F7FAF8"/>
          </w:tcPr>
          <w:p>
            <w:pPr>
              <w:spacing w:after="0" w:line="252" w:lineRule="auto"/>
            </w:pPr>
            <w:r>
              <w:rPr>
                <w:rFonts w:ascii="Calibri" w:hAnsi="Calibri"/>
                <w:sz w:val="16"/>
              </w:rPr>
              <w:t>Accounting and statutory record-keeping</w:t>
            </w:r>
          </w:p>
        </w:tc>
        <w:tc>
          <w:tcPr>
            <w:tcW w:type="dxa" w:w="2748"/>
            <w:vAlign w:val="center"/>
            <w:tcMar>
              <w:top w:w="90" w:type="dxa"/>
              <w:start w:w="110" w:type="dxa"/>
              <w:bottom w:w="90" w:type="dxa"/>
              <w:end w:w="110" w:type="dxa"/>
            </w:tcMar>
            <w:shd w:fill="F7FAF8"/>
          </w:tcPr>
          <w:p>
            <w:pPr>
              <w:spacing w:after="0" w:line="252" w:lineRule="auto"/>
            </w:pPr>
            <w:r>
              <w:rPr>
                <w:rFonts w:ascii="Calibri" w:hAnsi="Calibri"/>
                <w:sz w:val="16"/>
              </w:rPr>
              <w:t>Six years from the relevant accounting period or longer where applicable law requires</w:t>
            </w:r>
          </w:p>
        </w:tc>
        <w:tc>
          <w:tcPr>
            <w:tcW w:type="dxa" w:w="2243"/>
            <w:vAlign w:val="center"/>
            <w:tcMar>
              <w:top w:w="90" w:type="dxa"/>
              <w:start w:w="110" w:type="dxa"/>
              <w:bottom w:w="90" w:type="dxa"/>
              <w:end w:w="110" w:type="dxa"/>
            </w:tcMar>
            <w:shd w:fill="F7FAF8"/>
          </w:tcPr>
          <w:p>
            <w:pPr>
              <w:spacing w:after="0" w:line="252" w:lineRule="auto"/>
            </w:pPr>
            <w:r>
              <w:rPr>
                <w:rFonts w:ascii="Calibri" w:hAnsi="Calibri"/>
                <w:sz w:val="16"/>
              </w:rPr>
              <w:t>Secure deletion at expiry</w:t>
            </w:r>
          </w:p>
        </w:tc>
      </w:tr>
      <w:tr>
        <w:trPr>
          <w:cantSplit w:val="true"/>
        </w:trPr>
        <w:tc>
          <w:tcPr>
            <w:tcW w:type="dxa" w:w="2369"/>
            <w:vAlign w:val="center"/>
            <w:tcMar>
              <w:top w:w="90" w:type="dxa"/>
              <w:start w:w="110" w:type="dxa"/>
              <w:bottom w:w="90" w:type="dxa"/>
              <w:end w:w="110" w:type="dxa"/>
            </w:tcMar>
          </w:tcPr>
          <w:p>
            <w:pPr>
              <w:spacing w:after="0" w:line="252" w:lineRule="auto"/>
            </w:pPr>
            <w:r>
              <w:rPr>
                <w:rFonts w:ascii="Calibri" w:hAnsi="Calibri"/>
                <w:sz w:val="16"/>
              </w:rPr>
              <w:t>Security and personal-data incident record</w:t>
            </w:r>
          </w:p>
        </w:tc>
        <w:tc>
          <w:tcPr>
            <w:tcW w:type="dxa" w:w="1927"/>
            <w:vAlign w:val="center"/>
            <w:tcMar>
              <w:top w:w="90" w:type="dxa"/>
              <w:start w:w="110" w:type="dxa"/>
              <w:bottom w:w="90" w:type="dxa"/>
              <w:end w:w="110" w:type="dxa"/>
            </w:tcMar>
          </w:tcPr>
          <w:p>
            <w:pPr>
              <w:spacing w:after="0" w:line="252" w:lineRule="auto"/>
            </w:pPr>
            <w:r>
              <w:rPr>
                <w:rFonts w:ascii="Calibri" w:hAnsi="Calibri"/>
                <w:sz w:val="16"/>
              </w:rPr>
              <w:t>Evidence decisions, notifications, remediation and learning</w:t>
            </w:r>
          </w:p>
        </w:tc>
        <w:tc>
          <w:tcPr>
            <w:tcW w:type="dxa" w:w="2748"/>
            <w:vAlign w:val="center"/>
            <w:tcMar>
              <w:top w:w="90" w:type="dxa"/>
              <w:start w:w="110" w:type="dxa"/>
              <w:bottom w:w="90" w:type="dxa"/>
              <w:end w:w="110" w:type="dxa"/>
            </w:tcMar>
          </w:tcPr>
          <w:p>
            <w:pPr>
              <w:spacing w:after="0" w:line="252" w:lineRule="auto"/>
            </w:pPr>
            <w:r>
              <w:rPr>
                <w:rFonts w:ascii="Calibri" w:hAnsi="Calibri"/>
                <w:sz w:val="16"/>
              </w:rPr>
              <w:t>Six years after closure, subject to legal hold and necessity review</w:t>
            </w:r>
          </w:p>
        </w:tc>
        <w:tc>
          <w:tcPr>
            <w:tcW w:type="dxa" w:w="2243"/>
            <w:vAlign w:val="center"/>
            <w:tcMar>
              <w:top w:w="90" w:type="dxa"/>
              <w:start w:w="110" w:type="dxa"/>
              <w:bottom w:w="90" w:type="dxa"/>
              <w:end w:w="110" w:type="dxa"/>
            </w:tcMar>
          </w:tcPr>
          <w:p>
            <w:pPr>
              <w:spacing w:after="0" w:line="252" w:lineRule="auto"/>
            </w:pPr>
            <w:r>
              <w:rPr>
                <w:rFonts w:ascii="Calibri" w:hAnsi="Calibri"/>
                <w:sz w:val="16"/>
              </w:rPr>
              <w:t>Secure deletion or irreversible aggregation at expiry</w:t>
            </w:r>
          </w:p>
        </w:tc>
      </w:tr>
      <w:tr>
        <w:trPr>
          <w:cantSplit w:val="true"/>
        </w:trPr>
        <w:tc>
          <w:tcPr>
            <w:tcW w:type="dxa" w:w="2369"/>
            <w:vAlign w:val="center"/>
            <w:tcMar>
              <w:top w:w="90" w:type="dxa"/>
              <w:start w:w="110" w:type="dxa"/>
              <w:bottom w:w="90" w:type="dxa"/>
              <w:end w:w="110" w:type="dxa"/>
            </w:tcMar>
            <w:shd w:fill="F7FAF8"/>
          </w:tcPr>
          <w:p>
            <w:pPr>
              <w:spacing w:after="0" w:line="252" w:lineRule="auto"/>
            </w:pPr>
            <w:r>
              <w:rPr>
                <w:rFonts w:ascii="Calibri" w:hAnsi="Calibri"/>
                <w:sz w:val="16"/>
              </w:rPr>
              <w:t>Procurement evidence and policy version history</w:t>
            </w:r>
          </w:p>
        </w:tc>
        <w:tc>
          <w:tcPr>
            <w:tcW w:type="dxa" w:w="1927"/>
            <w:vAlign w:val="center"/>
            <w:tcMar>
              <w:top w:w="90" w:type="dxa"/>
              <w:start w:w="110" w:type="dxa"/>
              <w:bottom w:w="90" w:type="dxa"/>
              <w:end w:w="110" w:type="dxa"/>
            </w:tcMar>
            <w:shd w:fill="F7FAF8"/>
          </w:tcPr>
          <w:p>
            <w:pPr>
              <w:spacing w:after="0" w:line="252" w:lineRule="auto"/>
            </w:pPr>
            <w:r>
              <w:rPr>
                <w:rFonts w:ascii="Calibri" w:hAnsi="Calibri"/>
                <w:sz w:val="16"/>
              </w:rPr>
              <w:t>Demonstrate which assurance statement applied at a given time</w:t>
            </w:r>
          </w:p>
        </w:tc>
        <w:tc>
          <w:tcPr>
            <w:tcW w:type="dxa" w:w="2748"/>
            <w:vAlign w:val="center"/>
            <w:tcMar>
              <w:top w:w="90" w:type="dxa"/>
              <w:start w:w="110" w:type="dxa"/>
              <w:bottom w:w="90" w:type="dxa"/>
              <w:end w:w="110" w:type="dxa"/>
            </w:tcMar>
            <w:shd w:fill="F7FAF8"/>
          </w:tcPr>
          <w:p>
            <w:pPr>
              <w:spacing w:after="0" w:line="252" w:lineRule="auto"/>
            </w:pPr>
            <w:r>
              <w:rPr>
                <w:rFonts w:ascii="Calibri" w:hAnsi="Calibri"/>
                <w:sz w:val="16"/>
              </w:rPr>
              <w:t>Current version plus superseded versions needed for accountability and contract history</w:t>
            </w:r>
          </w:p>
        </w:tc>
        <w:tc>
          <w:tcPr>
            <w:tcW w:type="dxa" w:w="2243"/>
            <w:vAlign w:val="center"/>
            <w:tcMar>
              <w:top w:w="90" w:type="dxa"/>
              <w:start w:w="110" w:type="dxa"/>
              <w:bottom w:w="90" w:type="dxa"/>
              <w:end w:w="110" w:type="dxa"/>
            </w:tcMar>
            <w:shd w:fill="F7FAF8"/>
          </w:tcPr>
          <w:p>
            <w:pPr>
              <w:spacing w:after="0" w:line="252" w:lineRule="auto"/>
            </w:pPr>
            <w:r>
              <w:rPr>
                <w:rFonts w:ascii="Calibri" w:hAnsi="Calibri"/>
                <w:sz w:val="16"/>
              </w:rPr>
              <w:t>Retain a controlled archive; do not publish superseded files as current</w:t>
            </w:r>
          </w:p>
        </w:tc>
      </w:tr>
    </w:tbl>
    <w:p>
      <w:pPr>
        <w:spacing w:after="0"/>
      </w:pPr>
    </w:p>
    <w:p>
      <w:pPr>
        <w:pStyle w:val="Heading1"/>
        <w:pBdr>
          <w:bottom w:val="single" w:sz="8" w:space="4" w:color="5CB57A"/>
        </w:pBdr>
      </w:pPr>
      <w:r>
        <w:rPr>
          <w:rFonts w:ascii="Calibri" w:hAnsi="Calibri"/>
        </w:rPr>
        <w:t>4. Deletion and offboarding procedure</w:t>
      </w:r>
    </w:p>
    <w:p>
      <w:pPr>
        <w:pStyle w:val="ListParagraph"/>
        <w:numPr>
          <w:ilvl w:val="0"/>
          <w:numId w:val="11"/>
        </w:numPr>
      </w:pPr>
      <w:r>
        <w:rPr>
          <w:rFonts w:ascii="Calibri" w:hAnsi="Calibri"/>
          <w:b/>
        </w:rPr>
        <w:t>Confirm scope and authority.</w:t>
      </w:r>
      <w:r>
        <w:rPr>
          <w:rFonts w:ascii="Calibri" w:hAnsi="Calibri"/>
        </w:rPr>
        <w:t xml:space="preserve"> Verify the customer, affected systems, controller instruction, legal holds and required export.</w:t>
      </w:r>
    </w:p>
    <w:p>
      <w:pPr>
        <w:pStyle w:val="ListParagraph"/>
        <w:numPr>
          <w:ilvl w:val="0"/>
          <w:numId w:val="11"/>
        </w:numPr>
      </w:pPr>
      <w:r>
        <w:rPr>
          <w:rFonts w:ascii="Calibri" w:hAnsi="Calibri"/>
          <w:b/>
        </w:rPr>
        <w:t>Restrict access where appropriate.</w:t>
      </w:r>
      <w:r>
        <w:rPr>
          <w:rFonts w:ascii="Calibri" w:hAnsi="Calibri"/>
        </w:rPr>
        <w:t xml:space="preserve"> Disable accounts and connections that no longer require access.</w:t>
      </w:r>
    </w:p>
    <w:p>
      <w:pPr>
        <w:pStyle w:val="ListParagraph"/>
        <w:numPr>
          <w:ilvl w:val="0"/>
          <w:numId w:val="11"/>
        </w:numPr>
      </w:pPr>
      <w:r>
        <w:rPr>
          <w:rFonts w:ascii="Calibri" w:hAnsi="Calibri"/>
          <w:b/>
        </w:rPr>
        <w:t>Export or return.</w:t>
      </w:r>
      <w:r>
        <w:rPr>
          <w:rFonts w:ascii="Calibri" w:hAnsi="Calibri"/>
        </w:rPr>
        <w:t xml:space="preserve"> Make Customer Data available in the format and window agreed in the executed contract.</w:t>
      </w:r>
    </w:p>
    <w:p>
      <w:pPr>
        <w:pStyle w:val="ListParagraph"/>
        <w:numPr>
          <w:ilvl w:val="0"/>
          <w:numId w:val="11"/>
        </w:numPr>
      </w:pPr>
      <w:r>
        <w:rPr>
          <w:rFonts w:ascii="Calibri" w:hAnsi="Calibri"/>
          <w:b/>
        </w:rPr>
        <w:t>Delete live data.</w:t>
      </w:r>
      <w:r>
        <w:rPr>
          <w:rFonts w:ascii="Calibri" w:hAnsi="Calibri"/>
        </w:rPr>
        <w:t xml:space="preserve"> Remove Customer Data from live systems after the applicable export/offboarding window.</w:t>
      </w:r>
    </w:p>
    <w:p>
      <w:pPr>
        <w:pStyle w:val="ListParagraph"/>
        <w:numPr>
          <w:ilvl w:val="0"/>
          <w:numId w:val="11"/>
        </w:numPr>
      </w:pPr>
      <w:r>
        <w:rPr>
          <w:rFonts w:ascii="Calibri" w:hAnsi="Calibri"/>
          <w:b/>
        </w:rPr>
        <w:t>Revoke integrations.</w:t>
      </w:r>
      <w:r>
        <w:rPr>
          <w:rFonts w:ascii="Calibri" w:hAnsi="Calibri"/>
        </w:rPr>
        <w:t xml:space="preserve"> Disconnect Wonde and other customer-specific provider access.</w:t>
      </w:r>
    </w:p>
    <w:p>
      <w:pPr>
        <w:pStyle w:val="ListParagraph"/>
        <w:numPr>
          <w:ilvl w:val="0"/>
          <w:numId w:val="11"/>
        </w:numPr>
      </w:pPr>
      <w:r>
        <w:rPr>
          <w:rFonts w:ascii="Calibri" w:hAnsi="Calibri"/>
          <w:b/>
        </w:rPr>
        <w:t>Allow backup ageing.</w:t>
      </w:r>
      <w:r>
        <w:rPr>
          <w:rFonts w:ascii="Calibri" w:hAnsi="Calibri"/>
        </w:rPr>
        <w:t xml:space="preserve"> Backups expire under the documented maximum lifecycle. If a backup is restored, deletion instructions are reapplied.</w:t>
      </w:r>
    </w:p>
    <w:p>
      <w:pPr>
        <w:pStyle w:val="ListParagraph"/>
        <w:numPr>
          <w:ilvl w:val="0"/>
          <w:numId w:val="11"/>
        </w:numPr>
      </w:pPr>
      <w:r>
        <w:rPr>
          <w:rFonts w:ascii="Calibri" w:hAnsi="Calibri"/>
          <w:b/>
        </w:rPr>
        <w:t>Record completion.</w:t>
      </w:r>
      <w:r>
        <w:rPr>
          <w:rFonts w:ascii="Calibri" w:hAnsi="Calibri"/>
        </w:rPr>
        <w:t xml:space="preserve"> Keep a minimal deletion record identifying the customer, scope, authoriser and completion date. A deletion confirmation can be provided where agreed.</w:t>
      </w:r>
    </w:p>
    <w:p>
      <w:r>
        <w:rPr>
          <w:rFonts w:ascii="Calibri" w:hAnsi="Calibri"/>
        </w:rPr>
        <w:t>A deletion confirmation describes the scope and systems actually completed. Provider systems and protected backups follow their verified lifecycle rather than an invented per-record deletion promise.</w:t>
      </w:r>
    </w:p>
    <w:p>
      <w:pPr>
        <w:pStyle w:val="Heading1"/>
        <w:pBdr>
          <w:bottom w:val="single" w:sz="8" w:space="4" w:color="5CB57A"/>
        </w:pBdr>
      </w:pPr>
      <w:r>
        <w:rPr>
          <w:rFonts w:ascii="Calibri" w:hAnsi="Calibri"/>
        </w:rPr>
        <w:t>5. Early deletion, restriction and legal holds</w:t>
      </w:r>
    </w:p>
    <w:p>
      <w:r>
        <w:rPr>
          <w:rFonts w:ascii="Calibri" w:hAnsi="Calibri"/>
        </w:rPr>
        <w:t>Personal data should be deleted earlier where it is no longer needed and no contractual or legal reason remains. For Customer Data, the school normally decides whether an individual rights request requires deletion or restriction and sends the documented instruction to Student Radar.</w:t>
      </w:r>
    </w:p>
    <w:p>
      <w:r>
        <w:rPr>
          <w:rFonts w:ascii="Calibri" w:hAnsi="Calibri"/>
        </w:rPr>
        <w:t>A legal or safeguarding hold must record:</w:t>
      </w:r>
    </w:p>
    <w:p>
      <w:pPr>
        <w:pStyle w:val="ListParagraph"/>
        <w:numPr>
          <w:ilvl w:val="0"/>
          <w:numId w:val="10"/>
        </w:numPr>
      </w:pPr>
      <w:r>
        <w:rPr>
          <w:rFonts w:ascii="Calibri" w:hAnsi="Calibri"/>
        </w:rPr>
        <w:t>the data and people covered;</w:t>
      </w:r>
    </w:p>
    <w:p>
      <w:pPr>
        <w:pStyle w:val="ListParagraph"/>
        <w:numPr>
          <w:ilvl w:val="0"/>
          <w:numId w:val="10"/>
        </w:numPr>
      </w:pPr>
      <w:r>
        <w:rPr>
          <w:rFonts w:ascii="Calibri" w:hAnsi="Calibri"/>
        </w:rPr>
        <w:t>the legal or safeguarding reason;</w:t>
      </w:r>
    </w:p>
    <w:p>
      <w:pPr>
        <w:pStyle w:val="ListParagraph"/>
        <w:numPr>
          <w:ilvl w:val="0"/>
          <w:numId w:val="10"/>
        </w:numPr>
      </w:pPr>
      <w:r>
        <w:rPr>
          <w:rFonts w:ascii="Calibri" w:hAnsi="Calibri"/>
        </w:rPr>
        <w:t>the person who authorised it;</w:t>
      </w:r>
    </w:p>
    <w:p>
      <w:pPr>
        <w:pStyle w:val="ListParagraph"/>
        <w:numPr>
          <w:ilvl w:val="0"/>
          <w:numId w:val="10"/>
        </w:numPr>
      </w:pPr>
      <w:r>
        <w:rPr>
          <w:rFonts w:ascii="Calibri" w:hAnsi="Calibri"/>
        </w:rPr>
        <w:t>the start and review dates; and</w:t>
      </w:r>
    </w:p>
    <w:p>
      <w:pPr>
        <w:pStyle w:val="ListParagraph"/>
        <w:numPr>
          <w:ilvl w:val="0"/>
          <w:numId w:val="10"/>
        </w:numPr>
      </w:pPr>
      <w:r>
        <w:rPr>
          <w:rFonts w:ascii="Calibri" w:hAnsi="Calibri"/>
        </w:rPr>
        <w:t>the event that ends the hold.</w:t>
      </w:r>
    </w:p>
    <w:p>
      <w:r>
        <w:rPr>
          <w:rFonts w:ascii="Calibri" w:hAnsi="Calibri"/>
        </w:rPr>
        <w:t>Held data must be restricted to the hold purpose. It must be deleted or returned to the normal schedule when the hold ends.</w:t>
      </w:r>
    </w:p>
    <w:p>
      <w:pPr>
        <w:pStyle w:val="Heading1"/>
        <w:pBdr>
          <w:bottom w:val="single" w:sz="8" w:space="4" w:color="5CB57A"/>
        </w:pBdr>
      </w:pPr>
      <w:r>
        <w:rPr>
          <w:rFonts w:ascii="Calibri" w:hAnsi="Calibri"/>
        </w:rPr>
        <w:t>6. Monitoring and review</w:t>
      </w:r>
    </w:p>
    <w:p>
      <w:r>
        <w:rPr>
          <w:rFonts w:ascii="Calibri" w:hAnsi="Calibri"/>
        </w:rPr>
        <w:t>The Data Protection Lead owns this schedule. Each system owner must be able to show how its period is applied. A manual review is acceptable where the volume and risk make it proportionate, but it must be recorded. An automated period must not be described as implemented until it has been tested.</w:t>
      </w:r>
    </w:p>
    <w:p>
      <w:r>
        <w:rPr>
          <w:rFonts w:ascii="Calibri" w:hAnsi="Calibri"/>
        </w:rPr>
        <w:t>The schedule is reviewed:</w:t>
      </w:r>
    </w:p>
    <w:p>
      <w:pPr>
        <w:pStyle w:val="ListParagraph"/>
        <w:numPr>
          <w:ilvl w:val="0"/>
          <w:numId w:val="10"/>
        </w:numPr>
      </w:pPr>
      <w:r>
        <w:rPr>
          <w:rFonts w:ascii="Calibri" w:hAnsi="Calibri"/>
        </w:rPr>
        <w:t>after a provider, data-flow or contractual change;</w:t>
      </w:r>
    </w:p>
    <w:p>
      <w:pPr>
        <w:pStyle w:val="ListParagraph"/>
        <w:numPr>
          <w:ilvl w:val="0"/>
          <w:numId w:val="10"/>
        </w:numPr>
      </w:pPr>
      <w:r>
        <w:rPr>
          <w:rFonts w:ascii="Calibri" w:hAnsi="Calibri"/>
        </w:rPr>
        <w:t>after a relevant incident or rights request;</w:t>
      </w:r>
    </w:p>
    <w:p>
      <w:pPr>
        <w:pStyle w:val="ListParagraph"/>
        <w:numPr>
          <w:ilvl w:val="0"/>
          <w:numId w:val="10"/>
        </w:numPr>
      </w:pPr>
      <w:r>
        <w:rPr>
          <w:rFonts w:ascii="Calibri" w:hAnsi="Calibri"/>
        </w:rPr>
        <w:t>before a new AI or tracking capability is enabled; and</w:t>
      </w:r>
    </w:p>
    <w:p>
      <w:pPr>
        <w:pStyle w:val="ListParagraph"/>
        <w:numPr>
          <w:ilvl w:val="0"/>
          <w:numId w:val="10"/>
        </w:numPr>
      </w:pPr>
      <w:r>
        <w:rPr>
          <w:rFonts w:ascii="Calibri" w:hAnsi="Calibri"/>
        </w:rPr>
        <w:t>at least annually.</w:t>
      </w:r>
    </w:p>
    <w:p>
      <w:pPr>
        <w:pStyle w:val="Heading1"/>
        <w:pBdr>
          <w:bottom w:val="single" w:sz="8" w:space="4" w:color="5CB57A"/>
        </w:pBdr>
      </w:pPr>
      <w:r>
        <w:rPr>
          <w:rFonts w:ascii="Calibri" w:hAnsi="Calibri"/>
        </w:rPr>
        <w:t>7. Related documents and sources</w:t>
      </w:r>
    </w:p>
    <w:p>
      <w:pPr>
        <w:pStyle w:val="ListParagraph"/>
        <w:numPr>
          <w:ilvl w:val="0"/>
          <w:numId w:val="10"/>
        </w:numPr>
      </w:pPr>
      <w:r>
        <w:rPr>
          <w:rFonts w:ascii="Calibri" w:hAnsi="Calibri"/>
        </w:rPr>
        <w:t>Student Radar Privacy Notice</w:t>
      </w:r>
    </w:p>
    <w:p>
      <w:pPr>
        <w:pStyle w:val="ListParagraph"/>
        <w:numPr>
          <w:ilvl w:val="0"/>
          <w:numId w:val="10"/>
        </w:numPr>
      </w:pPr>
      <w:r>
        <w:rPr>
          <w:rFonts w:ascii="Calibri" w:hAnsi="Calibri"/>
        </w:rPr>
        <w:t>Student Radar Cookie, Client Storage and Telemetry Notice</w:t>
      </w:r>
    </w:p>
    <w:p>
      <w:pPr>
        <w:pStyle w:val="ListParagraph"/>
        <w:numPr>
          <w:ilvl w:val="0"/>
          <w:numId w:val="10"/>
        </w:numPr>
      </w:pPr>
      <w:r>
        <w:rPr>
          <w:rFonts w:ascii="Calibri" w:hAnsi="Calibri"/>
        </w:rPr>
        <w:t>Student Radar Sub-Processor List, version 1.5, reviewed 11 July 2026</w:t>
      </w:r>
    </w:p>
    <w:p>
      <w:pPr>
        <w:pStyle w:val="ListParagraph"/>
        <w:numPr>
          <w:ilvl w:val="0"/>
          <w:numId w:val="10"/>
        </w:numPr>
      </w:pPr>
      <w:r>
        <w:rPr>
          <w:rFonts w:ascii="Calibri" w:hAnsi="Calibri"/>
        </w:rPr>
        <w:t>Student Radar AI Processing and Transfer Overview, version 1.4, reviewed 11 July 2026</w:t>
      </w:r>
    </w:p>
    <w:p>
      <w:pPr>
        <w:pStyle w:val="ListParagraph"/>
        <w:numPr>
          <w:ilvl w:val="0"/>
          <w:numId w:val="10"/>
        </w:numPr>
      </w:pPr>
      <w:r>
        <w:rPr>
          <w:rFonts w:ascii="Calibri" w:hAnsi="Calibri"/>
        </w:rPr>
        <w:t>Student Radar Appropriate Policy Document - Supplier Statement</w:t>
      </w:r>
    </w:p>
    <w:p>
      <w:pPr>
        <w:pStyle w:val="ListParagraph"/>
        <w:numPr>
          <w:ilvl w:val="0"/>
          <w:numId w:val="10"/>
        </w:numPr>
      </w:pPr>
      <w:r>
        <w:rPr>
          <w:rFonts w:ascii="Calibri" w:hAnsi="Calibri"/>
        </w:rPr>
        <w:t>Student Radar Data Protection Impact Assessment - Supplier Information and School Template</w:t>
      </w:r>
    </w:p>
    <w:p>
      <w:pPr>
        <w:pStyle w:val="ListParagraph"/>
        <w:numPr>
          <w:ilvl w:val="0"/>
          <w:numId w:val="10"/>
        </w:numPr>
      </w:pPr>
      <w:r>
        <w:rPr>
          <w:rFonts w:ascii="Calibri" w:hAnsi="Calibri"/>
        </w:rPr>
        <w:t>Executed Customer Data Processing Agreement</w:t>
      </w:r>
    </w:p>
    <w:p>
      <w:pPr>
        <w:pStyle w:val="ListParagraph"/>
        <w:numPr>
          <w:ilvl w:val="0"/>
          <w:numId w:val="10"/>
        </w:numPr>
      </w:pPr>
      <w:r>
        <w:rPr>
          <w:rFonts w:ascii="Calibri" w:hAnsi="Calibri"/>
        </w:rPr>
        <w:t xml:space="preserve">ICO, </w:t>
      </w:r>
      <w:hyperlink r:id="rId14">
        <w:r>
          <w:rPr>
            <w:color w:val="3A6C4D"/>
            <w:u w:val="single"/>
          </w:rPr>
          <w:t>Storage limitation</w:t>
        </w:r>
      </w:hyperlink>
    </w:p>
    <w:p>
      <w:pPr>
        <w:pStyle w:val="ListParagraph"/>
        <w:numPr>
          <w:ilvl w:val="0"/>
          <w:numId w:val="10"/>
        </w:numPr>
      </w:pPr>
      <w:r>
        <w:rPr>
          <w:rFonts w:ascii="Calibri" w:hAnsi="Calibri"/>
        </w:rPr>
        <w:t xml:space="preserve">ICO, </w:t>
      </w:r>
      <w:hyperlink r:id="rId15">
        <w:r>
          <w:rPr>
            <w:color w:val="3A6C4D"/>
            <w:u w:val="single"/>
          </w:rPr>
          <w:t>Retention audit framework</w:t>
        </w:r>
      </w:hyperlink>
    </w:p>
    <w:p>
      <w:pPr>
        <w:pStyle w:val="ListParagraph"/>
        <w:numPr>
          <w:ilvl w:val="0"/>
          <w:numId w:val="10"/>
        </w:numPr>
      </w:pPr>
      <w:r>
        <w:rPr>
          <w:rFonts w:ascii="Calibri" w:hAnsi="Calibri"/>
        </w:rPr>
        <w:t xml:space="preserve">Vercel, </w:t>
      </w:r>
      <w:hyperlink r:id="rId16">
        <w:r>
          <w:rPr>
            <w:color w:val="3A6C4D"/>
            <w:u w:val="single"/>
          </w:rPr>
          <w:t>Web Analytics privacy and compliance</w:t>
        </w:r>
      </w:hyperlink>
    </w:p>
    <w:p>
      <w:pPr>
        <w:pStyle w:val="ListParagraph"/>
        <w:numPr>
          <w:ilvl w:val="0"/>
          <w:numId w:val="10"/>
        </w:numPr>
      </w:pPr>
      <w:r>
        <w:rPr>
          <w:rFonts w:ascii="Calibri" w:hAnsi="Calibri"/>
        </w:rPr>
        <w:t xml:space="preserve">Vercel, </w:t>
      </w:r>
      <w:hyperlink r:id="rId17">
        <w:r>
          <w:rPr>
            <w:color w:val="3A6C4D"/>
            <w:u w:val="single"/>
          </w:rPr>
          <w:t>Speed Insights privacy and compliance</w:t>
        </w:r>
      </w:hyperlink>
    </w:p>
    <w:p>
      <w:pPr>
        <w:pStyle w:val="Heading1"/>
        <w:pBdr>
          <w:bottom w:val="single" w:sz="8" w:space="4" w:color="5CB57A"/>
        </w:pBdr>
      </w:pPr>
      <w:r>
        <w:rPr>
          <w:rFonts w:ascii="Calibri" w:hAnsi="Calibri"/>
        </w:rPr>
        <w:t>8. Version history</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Version</w:t>
            </w:r>
          </w:p>
        </w:tc>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Date</w:t>
            </w:r>
          </w:p>
        </w:tc>
        <w:tc>
          <w:tcPr>
            <w:tcW w:type="dxa" w:w="5272"/>
            <w:vAlign w:val="center"/>
            <w:tcMar>
              <w:top w:w="90" w:type="dxa"/>
              <w:start w:w="110" w:type="dxa"/>
              <w:bottom w:w="90" w:type="dxa"/>
              <w:end w:w="110" w:type="dxa"/>
            </w:tcMar>
            <w:shd w:fill="E2F1E6"/>
          </w:tcPr>
          <w:p>
            <w:pPr>
              <w:spacing w:after="0" w:line="252" w:lineRule="auto"/>
            </w:pPr>
            <w:r>
              <w:rPr>
                <w:rFonts w:ascii="Calibri" w:hAnsi="Calibri"/>
                <w:b/>
                <w:color w:val="274833"/>
                <w:sz w:val="18"/>
              </w:rPr>
              <w:t>Change</w:t>
            </w:r>
          </w:p>
        </w:tc>
      </w:tr>
      <w:tr>
        <w:trPr>
          <w:cantSplit w:val="true"/>
        </w:trPr>
        <w:tc>
          <w:tcPr>
            <w:tcW w:type="dxa" w:w="2008"/>
            <w:vAlign w:val="center"/>
            <w:tcMar>
              <w:top w:w="90" w:type="dxa"/>
              <w:start w:w="110" w:type="dxa"/>
              <w:bottom w:w="90" w:type="dxa"/>
              <w:end w:w="110" w:type="dxa"/>
            </w:tcMar>
          </w:tcPr>
          <w:p>
            <w:pPr>
              <w:spacing w:after="0" w:line="252" w:lineRule="auto"/>
            </w:pPr>
            <w:r>
              <w:rPr>
                <w:rFonts w:ascii="Calibri" w:hAnsi="Calibri"/>
                <w:sz w:val="18"/>
              </w:rPr>
              <w:t>1.0</w:t>
            </w:r>
          </w:p>
        </w:tc>
        <w:tc>
          <w:tcPr>
            <w:tcW w:type="dxa" w:w="2008"/>
            <w:vAlign w:val="center"/>
            <w:tcMar>
              <w:top w:w="90" w:type="dxa"/>
              <w:start w:w="110" w:type="dxa"/>
              <w:bottom w:w="90" w:type="dxa"/>
              <w:end w:w="110" w:type="dxa"/>
            </w:tcMar>
          </w:tcPr>
          <w:p>
            <w:pPr>
              <w:spacing w:after="0" w:line="252" w:lineRule="auto"/>
            </w:pPr>
            <w:r>
              <w:rPr>
                <w:rFonts w:ascii="Calibri" w:hAnsi="Calibri"/>
                <w:sz w:val="18"/>
              </w:rPr>
              <w:t>21 February 2026</w:t>
            </w:r>
          </w:p>
        </w:tc>
        <w:tc>
          <w:tcPr>
            <w:tcW w:type="dxa" w:w="5272"/>
            <w:vAlign w:val="center"/>
            <w:tcMar>
              <w:top w:w="90" w:type="dxa"/>
              <w:start w:w="110" w:type="dxa"/>
              <w:bottom w:w="90" w:type="dxa"/>
              <w:end w:w="110" w:type="dxa"/>
            </w:tcMar>
          </w:tcPr>
          <w:p>
            <w:pPr>
              <w:spacing w:after="0" w:line="252" w:lineRule="auto"/>
            </w:pPr>
            <w:r>
              <w:rPr>
                <w:rFonts w:ascii="Calibri" w:hAnsi="Calibri"/>
                <w:sz w:val="18"/>
              </w:rPr>
              <w:t>Withdrawn. It included consent-cookie, blanket AI and provider-retention claims that did not match the current implementation evidence.</w:t>
            </w:r>
          </w:p>
        </w:tc>
      </w:tr>
      <w:tr>
        <w:trPr>
          <w:cantSplit w:val="true"/>
        </w:trPr>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w:t>
            </w:r>
          </w:p>
        </w:tc>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c>
          <w:tcPr>
            <w:tcW w:type="dxa" w:w="5272"/>
            <w:vAlign w:val="center"/>
            <w:tcMar>
              <w:top w:w="90" w:type="dxa"/>
              <w:start w:w="110" w:type="dxa"/>
              <w:bottom w:w="90" w:type="dxa"/>
              <w:end w:w="110" w:type="dxa"/>
            </w:tcMar>
            <w:shd w:fill="F7FAF8"/>
          </w:tcPr>
          <w:p>
            <w:pPr>
              <w:spacing w:after="0" w:line="252" w:lineRule="auto"/>
            </w:pPr>
            <w:r>
              <w:rPr>
                <w:rFonts w:ascii="Calibri" w:hAnsi="Calibri"/>
                <w:sz w:val="18"/>
              </w:rPr>
              <w:t>Rebuilt around role-specific Customer Data offboarding, verified public-tool lifecycles, browser storage, short-lived HMAC rate-limit keys, cookieless telemetry and explicit implementation qualifications.</w:t>
            </w:r>
          </w:p>
        </w:tc>
      </w:tr>
    </w:tbl>
    <w:p>
      <w:pPr>
        <w:spacing w:after="0"/>
      </w:pP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Retention &amp; Deletion Schedule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abstractNum w:abstractNumId="10">
    <w:multiLevelType w:val="singleLevel"/>
    <w:lvl w:ilvl="0">
      <w:start w:val="1"/>
      <w:numFmt w:val="decimal"/>
      <w:lvlText w:val="%1."/>
      <w:lvlJc w:val="left"/>
      <w:pPr>
        <w:tabs>
          <w:tab w:val="num" w:pos="550"/>
        </w:tabs>
        <w:ind w:left="550" w:hanging="260"/>
      </w:pPr>
    </w:lvl>
  </w:abstract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hyperlink" Target="https://ico.org.uk/for-organisations/uk-gdpr-guidance-and-resources/data-protection-principles/a-guide-to-the-data-protection-principles/storage-limitation/" TargetMode="External"/><Relationship Id="rId15" Type="http://schemas.openxmlformats.org/officeDocument/2006/relationships/hyperlink" Target="https://ico.org.uk/for-organisations/advice-and-services/audits/data-protection-audit-framework/toolkits/records-management/retention/" TargetMode="External"/><Relationship Id="rId16" Type="http://schemas.openxmlformats.org/officeDocument/2006/relationships/hyperlink" Target="https://vercel.com/docs/analytics/privacy-policy" TargetMode="External"/><Relationship Id="rId17" Type="http://schemas.openxmlformats.org/officeDocument/2006/relationships/hyperlink" Target="https://vercel.com/docs/speed-insights/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Data Retention and Deletion Schedule</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