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Retention Policy</w:t>
      </w:r>
    </w:p>
    <w:p>
      <w:r>
        <w:rPr>
          <w:sz w:val="18"/>
        </w:rPr>
        <w:t xml:space="preserve">Owner: DPO  |  Effective date: 10 September 2026</w:t>
        <w:br/>
        <w:t xml:space="preserve">Next review: September 2027</w:t>
      </w:r>
    </w:p>
    <w:p>
      <w:r>
        <w:rPr>
          <w:b w:val="0"/>
        </w:rPr>
        <w:t xml:space="preserve">This policy sets the retention and deletion rules for school and service records. Schools determine the schedules for information processed on their instructions. The DPA governs return, deletion and residual backup expiry when the service ends.</w:t>
      </w:r>
    </w:p>
    <w:p>
      <w:pPr>
        <w:pStyle w:val="Heading1"/>
      </w:pPr>
      <w:r>
        <w:t>School records</w:t>
      </w:r>
    </w:p>
    <w:p>
      <w:r>
        <w:t>Pupil, SEND, health, safeguarding, communication and associated audit records follow the school’s approved category and retention trigger. Attachments and AI outputs saved as part of a record follow that record. A pseudonymised record remains personal data where it can be linked back to a person.</w:t>
      </w:r>
    </w:p>
    <w:p>
      <w:r>
        <w:t>School schedules reflect the particular records, purposes, applicable duties and lawful holds. Suggested periods are not universal statutory rules. The school arranges continued custody of records it must retain after leaving the service.</w:t>
      </w:r>
    </w:p>
    <w:p>
      <w:pPr>
        <w:pStyle w:val="Heading1"/>
      </w:pPr>
      <w:r>
        <w:t>Service records</w:t>
      </w:r>
    </w:p>
    <w:tbl>
      <w:tblPr>
        <w:tblW w:type="auto" w:w="0"/>
        <w:tblLayout w:type="fixed"/>
        <w:tblLook w:firstColumn="1" w:firstRow="1" w:lastColumn="0" w:lastRow="0" w:noHBand="0" w:noVBand="1" w:val="04A0"/>
      </w:tblPr>
      <w:tblGrid>
        <w:gridCol w:w="2592"/>
        <w:gridCol w:w="7243"/>
      </w:tblGrid>
      <w:tr>
        <w:trPr>
          <w:cantSplit/>
          <w:tblHeader/>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spacing w:before="40" w:after="40"/>
            </w:pPr>
            <w:r>
              <w:rPr>
                <w:b/>
                <w:sz w:val="19"/>
              </w:rPr>
              <w:t>Record category</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spacing w:before="40" w:after="40"/>
            </w:pPr>
            <w:r>
              <w:rPr>
                <w:b/>
                <w:sz w:val="19"/>
              </w:rPr>
              <w:t>Retention rule</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Diagnostic and request logs</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30 days. Exclude pupil narratives and AI prompts; minimise other identifiers.</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Security and authentication logs</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90 days. Distinct from the audit history of a school record.</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School-record audit history</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The schedule for the associated record, subject to DPA exit terms.</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Truly anonymous analytics</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12 months. Re-identifiable data cannot use this category.</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Primary school-record backups</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30-day rolling cycle; isolated residual copies expire by day 60 from termination.</w:t>
            </w:r>
          </w:p>
        </w:tc>
      </w:tr>
    </w:tbl>
    <w:p>
      <w:pPr>
        <w:spacing w:after="0"/>
      </w:pPr>
    </w:p>
    <w:p>
      <w:pPr>
        <w:pStyle w:val="Heading1"/>
      </w:pPr>
      <w:r>
        <w:t>Email and other provider copies</w:t>
      </w:r>
    </w:p>
    <w:p>
      <w:r>
        <w:rPr>
          <w:b w:val="0"/>
        </w:rPr>
        <w:t xml:space="preserve">Brevo delivers transactional email. Provider delivery copies are separate from school communication records saved in Student Radar. Configured retention and deletion arrangements govern provider copies within the DPA deadlines. We retain records of deletion requests, settings, expiry schedules and any residual copies.</w:t>
      </w:r>
    </w:p>
    <w:p>
      <w:r>
        <w:br w:type="page"/>
      </w:r>
    </w:p>
    <w:p>
      <w:pPr>
        <w:pStyle w:val="Heading1"/>
      </w:pPr>
      <w:r>
        <w:t>Service termination</w:t>
      </w:r>
    </w:p>
    <w:p>
      <w:r>
        <w:rPr>
          <w:b w:val="0"/>
        </w:rPr>
        <w:t>The DPA requires return of school Personal Data and deletion of remaining live copies, or deletion at the school’s choice, within 30 days of termination. It requires a 30-day rolling backup cycle and final expiry of isolated residual copies by day 60 from termination. Deleted records must be excluded from new backups, and deletion instructions reapplied before restored data returns to use.</w:t>
      </w:r>
    </w:p>
    <w:p>
      <w:r>
        <w:t>The return includes the agreed structured data, associated files and a manifest so the school can arrange continued custody. The 30-day period starts at termination; it is not followed by a further live-deletion window. Written confirmation identifies what was returned or deleted and the expiry of isolated residual backups.</w:t>
      </w:r>
    </w:p>
    <w:p>
      <w:r>
        <w:t>Deletion covers the relevant primary records, files, caches, queues and provider copies. An inactive account or a hidden record is not treated as completed deletion. Restoring a backup or resuming MIS synchronisation must not return deleted records to ordinary use.</w:t>
      </w:r>
    </w:p>
    <w:p>
      <w:pPr>
        <w:pStyle w:val="Heading1"/>
      </w:pPr>
      <w:r>
        <w:t>Legal retention and holds</w:t>
      </w:r>
    </w:p>
    <w:p>
      <w:r>
        <w:t>Any retention beyond the DPA limits is restricted to the data and period required by law. The data remains protected, access is restricted and the school is informed unless the law prohibits notice. A general wish to retain evidence does not authorise retention of the school’s whole dataset.</w:t>
      </w:r>
    </w:p>
    <w:p>
      <w:r>
        <w:t>A hold is recorded with its basis, data scope, access restriction and review point. Once the legal requirement ends, the applicable deletion process resumes. Routine insurance or incident administration does not create a blanket exception for pupil data.</w:t>
      </w:r>
    </w:p>
    <w:p>
      <w:pPr>
        <w:pStyle w:val="Heading1"/>
      </w:pPr>
      <w:r>
        <w:t>Our business records</w:t>
      </w:r>
    </w:p>
    <w:p>
      <w:r>
        <w:t>For our own controller purposes, contract-administration records have a policy period of the agreement plus six years. Incident administration records have a six-year period after closure, limited to necessary decisions and actions. Accounting records follow the applicable statutory period. Enquiries are retained only while needed to handle the enquiry and any justified follow-up.</w:t>
      </w:r>
    </w:p>
    <w:p>
      <w:r>
        <w:t>These business periods do not extend the retention of school records processed on instructions. The Privacy Policy explains our roles, purposes and rights routes.</w:t>
      </w:r>
    </w:p>
    <w:p>
      <w:pPr>
        <w:pStyle w:val="Heading1"/>
      </w:pPr>
      <w:r>
        <w:t>Requests and oversight</w:t>
      </w:r>
    </w:p>
    <w:p>
      <w:r>
        <w:t>Our target for assisting a school with a subject-access request is five working days, with a maximum of 10 calendar days and faster assistance where its statutory deadline requires it. The school determines the response, exemptions, redactions and authority of anyone acting for the individual.</w:t>
      </w:r>
    </w:p>
    <w:p>
      <w:r>
        <w:rPr>
          <w:b w:val="0"/>
        </w:rPr>
        <w:t>The DPO maintains the category schedule and reviews it at least annually. The technical lead maintains the store mapping and deletion process. Material changes follow the DPA and the school’s documented instructions.</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Retention Policy</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