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Appropriate Policy Document</w:t>
      </w:r>
    </w:p>
    <w:p>
      <w:r>
        <w:rPr>
          <w:sz w:val="18"/>
        </w:rPr>
        <w:t xml:space="preserve">Owner: DPO  |  Effective date: 10 September 2026</w:t>
        <w:br/>
        <w:t xml:space="preserve">Next review: September 2027</w:t>
      </w:r>
    </w:p>
    <w:p>
      <w:r>
        <w:t>This document describes our safeguards for special-category and criminal-offence information processed for schools. SENDlink LTD trading as Student Radar normally acts as processor for school records. The school or trust determines the purpose, lawful basis and relevant conditions as controller.</w:t>
      </w:r>
    </w:p>
    <w:p>
      <w:pPr>
        <w:pStyle w:val="Heading1"/>
      </w:pPr>
      <w:r>
        <w:t>Controller and processor responsibilities</w:t>
      </w:r>
    </w:p>
    <w:p>
      <w:r>
        <w:t>A statutory Appropriate Policy Document is required where the controller relies on a legal condition that requires one. This supplier safeguards document supports the school’s assessment and does not replace its own required APD, processing record or DPIA.</w:t>
      </w:r>
    </w:p>
    <w:p>
      <w:r>
        <w:t>The school identifies its Article 6 lawful basis, any Article 9 condition and relevant Data Protection Act 2018 Schedule 1 safeguards. Criminal-offence information requires a lawful Article 10 route. If SENDlink processes sensitive information for a separate purpose as controller, that purpose needs its own applicable basis, condition and safeguards.</w:t>
      </w:r>
    </w:p>
    <w:p>
      <w:pPr>
        <w:pStyle w:val="Heading1"/>
      </w:pPr>
      <w:r>
        <w:t>Information and authorised purpose</w:t>
      </w:r>
    </w:p>
    <w:p>
      <w:r>
        <w:t>Authorised records may include health and SEND information, ethnicity, religion, sensitive welfare narratives and criminal allegations. Narrative fields can contain additional sensitive information. Our processing is limited to the school’s documented instructions and the data needed for the authorised task.</w:t>
      </w:r>
    </w:p>
    <w:p>
      <w:r>
        <w:t>Possible conditions depend on purpose. Safeguarding under Schedule 1 paragraph 18 has necessity and consent-related requirements. Employment conditions are limited to the relevant rights and duties. Health and social care conditions have their own purpose and confidentiality requirements. A reference to an EHCP does not, by itself, establish a condition.</w:t>
      </w:r>
    </w:p>
    <w:p>
      <w:pPr>
        <w:pStyle w:val="Heading1"/>
      </w:pPr>
      <w:r>
        <w:t>Fairness and accuracy</w:t>
      </w:r>
    </w:p>
    <w:p>
      <w:r>
        <w:t>AI is included in the service to help staff explore information and prepare drafts. Authorised staff review the sources, limitations and output before use, and can amend or reject it. AI does not determine a diagnosis, SEND status, safeguarding action or another significant decision automatically.</w:t>
      </w:r>
    </w:p>
    <w:p>
      <w:r>
        <w:t>Records distinguish source information, staff judgement and AI suggestions. Staff consider provenance and accuracy and use the correction route when information is wrong. The school’s privacy information explains its actual collection, use and sharing.</w:t>
      </w:r>
    </w:p>
    <w:p>
      <w:r>
        <w:br w:type="page"/>
      </w:r>
    </w:p>
    <w:p>
      <w:pPr>
        <w:pStyle w:val="Heading1"/>
      </w:pPr>
      <w:r>
        <w:t>Minimisation and confidentiality</w:t>
      </w:r>
    </w:p>
    <w:p>
      <w:r>
        <w:t>Our handling standards limit collection and access to the authorised purpose, restrict sensitive narratives and attachments, and prohibit unrelated advertising or model-training use of school records. Permissions apply to the school, record and specific action.</w:t>
      </w:r>
    </w:p>
    <w:p>
      <w:r>
        <w:t>The Information Security Policy covers staff confidentiality, MFA, encryption, logging, secure development and incident response. The DPA and provider schedule govern international processing and supplier safeguards. Primary UK school-record storage is distinct from the locations used by other authorised providers.</w:t>
      </w:r>
    </w:p>
    <w:p>
      <w:pPr>
        <w:pStyle w:val="Heading1"/>
      </w:pPr>
      <w:r>
        <w:t>Retention and deletion</w:t>
      </w:r>
    </w:p>
    <w:p>
      <w:r>
        <w:rPr>
          <w:b w:val="0"/>
        </w:rPr>
        <w:t>The DPA requires return of school Personal Data and deletion of remaining live copies, or deletion at the school’s choice, within 30 days of termination. It requires a 30-day rolling backup cycle and final expiry of isolated residual copies by day 60 from termination. Deleted records must be excluded from new backups, and deletion instructions reapplied before restored data returns to use.</w:t>
      </w:r>
    </w:p>
    <w:p>
      <w:r>
        <w:rPr>
          <w:b w:val="0"/>
        </w:rPr>
        <w:t xml:space="preserve">Our retention rules are 30 days for diagnostic and request logs, 90 days for security and authentication logs and 12 months for truly anonymous analytics. Diagnostic logs must exclude pupil narratives and AI prompts. School-record audit history and saved AI material follow the associated record and DPA exit terms.</w:t>
      </w:r>
    </w:p>
    <w:p>
      <w:r>
        <w:t>Any retention beyond the DPA limits is restricted to the data and period required by law. The data remains protected, access is restricted and the school is informed unless the law prohibits notice. A general wish to retain evidence does not authorise retention of the school’s whole dataset.</w:t>
      </w:r>
    </w:p>
    <w:p>
      <w:pPr>
        <w:pStyle w:val="Heading1"/>
      </w:pPr>
      <w:r>
        <w:t>Individual rights</w:t>
      </w:r>
    </w:p>
    <w:p>
      <w:r>
        <w:t>Our target for assisting a school with a subject-access request is five working days, with a maximum of 10 calendar days and faster assistance where its statutory deadline requires it. The school determines the response, exemptions, redactions and authority of anyone acting for the individual.</w:t>
      </w:r>
    </w:p>
    <w:p>
      <w:r>
        <w:t>Rights belong to the individual, including a child. The school considers competence and representative authority before disclosing information. It decides how access, correction, erasure, restriction, objections and exemptions apply to its records.</w:t>
      </w:r>
    </w:p>
    <w:p>
      <w:pPr>
        <w:pStyle w:val="Heading1"/>
      </w:pPr>
      <w:r>
        <w:t>Accountability and review</w:t>
      </w:r>
    </w:p>
    <w:p>
      <w:r>
        <w:rPr>
          <w:b w:val="0"/>
        </w:rPr>
        <w:t>The DPO maintains this document and reviews it at least annually and after material processing changes. The Director is accountable for its adoption. Where a controller must maintain a statutory APD, it keeps and reviews that document for the relevant processing period and at least six months afterwards, and makes it available to the ICO as required. That document-retention duty does not extend retention of the underlying pupil records.</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Appropriate Policy Document</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