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 Transfer Overview</w:t>
      </w:r>
    </w:p>
    <w:p>
      <w:r>
        <w:rPr>
          <w:sz w:val="18"/>
        </w:rPr>
        <w:t xml:space="preserve">Owner: DPO  |  Effective date: 10 September 2026</w:t>
        <w:br/>
        <w:t xml:space="preserve">Next review: September 2027</w:t>
      </w:r>
    </w:p>
    <w:p>
      <w:r>
        <w:t>This overview explains the purpose of AI in Student Radar, the information involved and the controls that govern provider processing. It should be read with the DPA, the school’s own assessment and the Sub-Processor List.</w:t>
      </w:r>
    </w:p>
    <w:p>
      <w:pPr>
        <w:pStyle w:val="Heading1"/>
      </w:pPr>
      <w:r>
        <w:t>Purpose and human review</w:t>
      </w:r>
    </w:p>
    <w:p>
      <w:r>
        <w:t>AI is included in the service to help staff explore information and prepare drafts. Authorised staff review the sources, limitations and output before use, and can amend or reject it. AI does not determine a diagnosis, SEND status, safeguarding action or another significant decision automatically.</w:t>
      </w:r>
    </w:p>
    <w:p>
      <w:r>
        <w:t>Outputs may be incomplete, inaccurate or affected by bias. Staff consider the underlying record, source dates, missing information and the limits of the analysis. Connected information can prompt enquiry; it does not establish causation or justify an automatic safeguarding or educational decision.</w:t>
      </w:r>
    </w:p>
    <w:p>
      <w:pPr>
        <w:pStyle w:val="Heading1"/>
      </w:pPr>
      <w:r>
        <w:t>Information sent to AI</w:t>
      </w:r>
    </w:p>
    <w:p>
      <w:r>
        <w:t>Our minimisation standard limits each request to information needed for the task. Direct identifiers are removed or replaced where the workflow permits, and unnecessary narrative content is excluded. Sensitive or unusual details can still identify a person, so tokenised or pseudonymised inputs remain subject to data-protection controls.</w:t>
      </w:r>
    </w:p>
    <w:p>
      <w:r>
        <w:t>School records and text supplied by users are treated as content to assess, not instructions that can override permissions or the intended task. Access to source material and use of the resulting output remain subject to school scope and permissions.</w:t>
      </w:r>
    </w:p>
    <w:p>
      <w:pPr>
        <w:pStyle w:val="Heading1"/>
      </w:pPr>
      <w:r>
        <w:t>Location and international processing</w:t>
      </w:r>
    </w:p>
    <w:p>
      <w:r>
        <w:t>Our location policy keeps the primary school-record database, file storage and their backups in the United Kingdom. Other processing, including email delivery, AI and provider support, is limited to the providers, purposes and locations authorised in the DPA. UK primary storage does not mean that all processing takes place in the UK.</w:t>
      </w:r>
    </w:p>
    <w:p>
      <w:r>
        <w:rPr>
          <w:b w:val="0"/>
        </w:rPr>
        <w:t xml:space="preserve">OpenAI provides AI assistance and AssemblyAI provides authorised transcription. These services can process information outside the United Kingdom. The DPA and Sub-Processor List describe their service purposes, processing arrangements and transfer safeguards.</w:t>
      </w:r>
    </w:p>
    <w:p>
      <w:r>
        <w:br w:type="page"/>
      </w:r>
    </w:p>
    <w:p>
      <w:pPr>
        <w:pStyle w:val="Heading1"/>
      </w:pPr>
      <w:r>
        <w:t>Training and provider retention</w:t>
      </w:r>
    </w:p>
    <w:p>
      <w:r>
        <w:rPr>
          <w:b w:val="0"/>
        </w:rPr>
        <w:t xml:space="preserve">We prohibit AI providers from training their models on school Personal Data and require no retained input or output content, including abuse-monitoring copies. These controls apply to the authorised AI features and transcription modes under the DPA. Changes to those arrangements require assessment and the school’s prior written authorisation.</w:t>
      </w:r>
    </w:p>
    <w:p>
      <w:r>
        <w:rPr>
          <w:b w:val="0"/>
        </w:rPr>
        <w:t xml:space="preserve">The training and no-retention restrictions cover the authorised models, endpoints, tools and transcription modes. Provider processing is limited to the information needed for the school’s task.</w:t>
      </w:r>
    </w:p>
    <w:p>
      <w:r>
        <w:t>AI text saved in Student Radar becomes part of the school’s record and follows that record’s retention and access rules. Deleting provider copies does not delete those school records. Diagnostic logs exclude AI prompts and pupil narratives.</w:t>
      </w:r>
    </w:p>
    <w:p>
      <w:pPr>
        <w:pStyle w:val="Heading1"/>
      </w:pPr>
      <w:r>
        <w:t>Authorisation and safeguards</w:t>
      </w:r>
    </w:p>
    <w:p>
      <w:r>
        <w:t>International processing is limited to named providers, purposes and locations authorised under the DPA. Restricted transfers use an applicable UK adequacy regulation or appropriate safeguards, such as the UK IDTA or the EU SCCs with the UK Addendum, with the assessment and supplementary measures required for the transfer.</w:t>
      </w:r>
    </w:p>
    <w:p>
      <w:r>
        <w:t>Contractual authorisation and a lawful transfer mechanism serve different purposes. A provider’s compliance statement does not override the school’s agreed restrictions. Where the EU GDPR applies, the relevant EU transfer requirements are addressed separately.</w:t>
      </w:r>
    </w:p>
    <w:p>
      <w:r>
        <w:t>We give at least 30 calendar days’ written notice of a planned sub-processor addition, replacement or material location change. Schools have 14 calendar days from notice to raise a reasoned data-protection objection. We address objections before the affected processing changes. A shorter notice period requires prior written agreement; an urgent incident does not create permission for an undisclosed transfer.</w:t>
      </w:r>
    </w:p>
    <w:p>
      <w:pPr>
        <w:pStyle w:val="Heading1"/>
      </w:pPr>
      <w:r>
        <w:t>Rights and incident handling</w:t>
      </w:r>
    </w:p>
    <w:p>
      <w:r>
        <w:t>Our target for assisting a school with a subject-access request is five working days, with a maximum of 10 calendar days and faster assistance where its statutory deadline requires it. The school determines the response, exemptions, redactions and authority of anyone acting for the individual.</w:t>
      </w:r>
    </w:p>
    <w:p>
      <w:r>
        <w:t>We notify the affected school without undue delay and within 24 hours of becoming aware of a personal data breach. We provide the available facts first and further information promptly as the investigation develops. This duty applies outside normal support hours and is independent of incident priority.</w:t>
      </w:r>
    </w:p>
    <w:p>
      <w:pPr>
        <w:pStyle w:val="Heading1"/>
      </w:pPr>
      <w:r>
        <w:t>Review</w:t>
      </w:r>
    </w:p>
    <w:p>
      <w:r>
        <w:rPr>
          <w:b w:val="0"/>
        </w:rPr>
        <w:t>The DPO and technical lead review changes to AI providers, models, features, data inputs and retention controls. Any change affecting the authorised processing follows the DPA before use. The school remains responsible for its lawful basis, sensitive-data conditions, transparency and DPIA decisions.</w:t>
      </w:r>
    </w:p>
    <w:p>
      <w:pPr>
        <w:pStyle w:val="Heading1"/>
      </w:pPr>
      <w:r>
        <w:t>Contact</w:t>
      </w:r>
    </w:p>
    <w:p>
      <w:r>
        <w:rPr>
          <w:sz w:val="18"/>
        </w:rPr>
        <w:t>SENDlink LTD trading as Student Radar | Company number 16602655</w:t>
        <w:br/>
        <w:t>dpo@studentradar.com | support@studentradar.com</w:t>
        <w:br/>
        <w:t>10 Masefield Gardens, Plymouth, PL5 3HU | www.studentradar.com</w:t>
      </w:r>
    </w:p>
    <w:sectPr w:rsidR="00FC693F" w:rsidRPr="0006063C" w:rsidSect="00034616">
      <w:headerReference w:type="default" r:id="rId9"/>
      <w:footerReference w:type="default" r:id="rId10"/>
      <w:headerReference w:type="first" r:id="rId12"/>
      <w:footerReference w:type="first" r:id="rId13"/>
      <w:pgSz w:w="11909" w:h="16834"/>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Version 3.3  |  Page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6"/>
      </w:rPr>
      <w:t>STUDENT RADAR</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Transfer Overview</dc:title>
  <dc:subject/>
  <dc:creator>Student Radar</dc:creator>
  <cp:keywords/>
  <dc:description/>
  <cp:lastModifiedBy>Student Radar</cp:lastModifiedBy>
  <cp:revision>1</cp:revision>
  <dcterms:created xsi:type="dcterms:W3CDTF">2013-12-23T23:15:00Z</dcterms:created>
  <dcterms:modified xsi:type="dcterms:W3CDTF">2013-12-23T23:15:00Z</dcterms:modified>
  <cp:category/>
</cp:coreProperties>
</file>